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PUR2311021</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11.25张世聪会议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br w:type="textWrapping"/>
            </w:r>
            <w:r>
              <w:rPr>
                <w:rFonts w:ascii="宋体" w:hAnsi="宋体" w:eastAsia="宋体" w:cs="宋体"/>
                <w:b/>
                <w:bCs/>
                <w:color w:val="000000"/>
                <w:kern w:val="0"/>
                <w:sz w:val="20"/>
                <w:szCs w:val="20"/>
                <w:lang w:val="en-US" w:eastAsia="zh-CN" w:bidi="ar"/>
              </w:rPr>
              <w:t>17752.88</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PUR2311028</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11.18高苑会议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1783.83</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w:t>
            </w:r>
            <w:r>
              <w:rPr>
                <w:rFonts w:hint="eastAsia" w:ascii="宋体" w:hAnsi="宋体"/>
                <w:b/>
                <w:bCs/>
                <w:szCs w:val="20"/>
                <w:lang w:eastAsia="zh-CN"/>
              </w:rPr>
              <w:t>19536.71</w:t>
            </w:r>
            <w:r>
              <w:rPr>
                <w:rFonts w:hint="eastAsia" w:ascii="宋体" w:hAnsi="宋体"/>
                <w:b/>
                <w:bCs/>
                <w:szCs w:val="20"/>
                <w:lang w:val="en-US" w:eastAsia="zh-CN"/>
              </w:rPr>
              <w:t xml:space="preserve"> </w:t>
            </w:r>
            <w:r>
              <w:rPr>
                <w:rFonts w:hint="eastAsia" w:ascii="宋体" w:hAnsi="宋体"/>
                <w:b/>
                <w:bCs/>
                <w:szCs w:val="20"/>
                <w:lang w:eastAsia="zh-CN"/>
              </w:rPr>
              <w:t>元（大写：人民币壹万玖仟伍佰叁拾陆元柒角壹分）</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5B0337"/>
    <w:rsid w:val="24737DE2"/>
    <w:rsid w:val="3F9B71C1"/>
    <w:rsid w:val="42507229"/>
    <w:rsid w:val="45466709"/>
    <w:rsid w:val="51C42A44"/>
    <w:rsid w:val="59672DC3"/>
    <w:rsid w:val="599E3C88"/>
    <w:rsid w:val="63E43874"/>
    <w:rsid w:val="63F80834"/>
    <w:rsid w:val="74C44449"/>
    <w:rsid w:val="76C41134"/>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22</TotalTime>
  <ScaleCrop>false</ScaleCrop>
  <LinksUpToDate>false</LinksUpToDate>
  <CharactersWithSpaces>356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2023-11-24T09:16:36Z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8C81E34692FA4C3EBFF6B8A500A58A28_13</vt:lpwstr>
  </property>
</Properties>
</file>