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2AD61" w14:textId="77777777" w:rsidR="00B27CA3" w:rsidRPr="00B27CA3" w:rsidRDefault="00B27CA3" w:rsidP="00B27CA3">
      <w:pPr>
        <w:widowControl/>
        <w:ind w:left="720" w:hanging="720"/>
        <w:rPr>
          <w:rFonts w:ascii="DengXian" w:eastAsia="DengXian" w:hAnsi="DengXian" w:cs="Times New Roman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</w:rPr>
        <w:t>一、</w:t>
      </w:r>
      <w:r w:rsidRPr="00B27CA3">
        <w:rPr>
          <w:rFonts w:ascii="Times New Roman" w:eastAsia="DengXian" w:hAnsi="Times New Roman" w:cs="Times New Roman"/>
          <w:color w:val="000000"/>
          <w:kern w:val="0"/>
          <w:sz w:val="14"/>
          <w:szCs w:val="14"/>
        </w:rPr>
        <w:t>        </w:t>
      </w:r>
      <w:r w:rsidRPr="00B27CA3">
        <w:rPr>
          <w:rFonts w:ascii="DengXian" w:eastAsia="DengXian" w:hAnsi="DengXian" w:cs="Times New Roman" w:hint="eastAsia"/>
          <w:b/>
          <w:bCs/>
          <w:color w:val="000000"/>
          <w:kern w:val="0"/>
          <w:sz w:val="21"/>
          <w:szCs w:val="21"/>
          <w:u w:val="single"/>
        </w:rPr>
        <w:t>项目背景</w:t>
      </w:r>
    </w:p>
    <w:p w14:paraId="3B3220BB" w14:textId="77777777" w:rsidR="00B27CA3" w:rsidRPr="00B27CA3" w:rsidRDefault="00B27CA3" w:rsidP="00B27CA3">
      <w:pPr>
        <w:widowControl/>
        <w:ind w:left="480" w:hanging="480"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Wingdings" w:eastAsia="DengXian" w:hAnsi="Wingdings" w:cs="Times New Roman"/>
          <w:color w:val="000000"/>
          <w:kern w:val="0"/>
        </w:rPr>
        <w:t></w:t>
      </w:r>
      <w:r w:rsidRPr="00B27CA3">
        <w:rPr>
          <w:rFonts w:ascii="Times New Roman" w:eastAsia="DengXian" w:hAnsi="Times New Roman" w:cs="Times New Roman"/>
          <w:color w:val="000000"/>
          <w:kern w:val="0"/>
          <w:sz w:val="14"/>
          <w:szCs w:val="14"/>
        </w:rPr>
        <w:t>   </w:t>
      </w: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陌陌广告业务渠道代理商交流会拟将在2017年7月4日-7月8日或7月11日-7月15日进行，借助活动进行新产品推介及最新渠道政策发布，为销售工作建立一个良好的沟通渠道；</w:t>
      </w:r>
    </w:p>
    <w:p w14:paraId="0D1E6C25" w14:textId="77777777" w:rsidR="00B27CA3" w:rsidRPr="00B27CA3" w:rsidRDefault="00B27CA3" w:rsidP="00B27CA3">
      <w:pPr>
        <w:widowControl/>
        <w:ind w:left="480" w:hanging="480"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Wingdings" w:eastAsia="DengXian" w:hAnsi="Wingdings" w:cs="Times New Roman"/>
          <w:color w:val="000000"/>
          <w:kern w:val="0"/>
        </w:rPr>
        <w:t></w:t>
      </w:r>
      <w:r w:rsidRPr="00B27CA3">
        <w:rPr>
          <w:rFonts w:ascii="Times New Roman" w:eastAsia="DengXian" w:hAnsi="Times New Roman" w:cs="Times New Roman"/>
          <w:color w:val="000000"/>
          <w:kern w:val="0"/>
          <w:sz w:val="14"/>
          <w:szCs w:val="14"/>
        </w:rPr>
        <w:t>   </w:t>
      </w: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本次活动旨在答谢合作伙伴，促进陌陌与合作伙伴更加紧密的关系，共同为实现2018年的销售业绩目标努力；</w:t>
      </w:r>
    </w:p>
    <w:p w14:paraId="6327827C" w14:textId="77777777" w:rsidR="00B27CA3" w:rsidRPr="00B27CA3" w:rsidRDefault="00B27CA3" w:rsidP="00B27CA3">
      <w:pPr>
        <w:widowControl/>
        <w:ind w:left="480" w:hanging="480"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Wingdings" w:eastAsia="DengXian" w:hAnsi="Wingdings" w:cs="Times New Roman"/>
          <w:color w:val="000000"/>
          <w:kern w:val="0"/>
        </w:rPr>
        <w:t></w:t>
      </w:r>
      <w:r w:rsidRPr="00B27CA3">
        <w:rPr>
          <w:rFonts w:ascii="Times New Roman" w:eastAsia="DengXian" w:hAnsi="Times New Roman" w:cs="Times New Roman"/>
          <w:color w:val="000000"/>
          <w:kern w:val="0"/>
          <w:sz w:val="14"/>
          <w:szCs w:val="14"/>
        </w:rPr>
        <w:t>   </w:t>
      </w: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活动需要更要体现细节，整体活动需突出陌陌新奇、有活力的等品牌特性，除了常规的差旅安排，需在活动举办形式上有一定的创新。</w:t>
      </w:r>
    </w:p>
    <w:p w14:paraId="7DC5ADFA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 </w:t>
      </w:r>
    </w:p>
    <w:p w14:paraId="23B05558" w14:textId="77777777" w:rsidR="00B27CA3" w:rsidRPr="00B27CA3" w:rsidRDefault="00B27CA3" w:rsidP="00B27CA3">
      <w:pPr>
        <w:widowControl/>
        <w:ind w:left="720" w:hanging="720"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</w:rPr>
        <w:t>二、</w:t>
      </w:r>
      <w:r w:rsidRPr="00B27CA3">
        <w:rPr>
          <w:rFonts w:ascii="Times New Roman" w:eastAsia="DengXian" w:hAnsi="Times New Roman" w:cs="Times New Roman"/>
          <w:color w:val="000000"/>
          <w:kern w:val="0"/>
          <w:sz w:val="14"/>
          <w:szCs w:val="14"/>
        </w:rPr>
        <w:t>        </w:t>
      </w:r>
      <w:r w:rsidRPr="00B27CA3">
        <w:rPr>
          <w:rFonts w:ascii="DengXian" w:eastAsia="DengXian" w:hAnsi="DengXian" w:cs="Times New Roman" w:hint="eastAsia"/>
          <w:b/>
          <w:bCs/>
          <w:color w:val="000000"/>
          <w:kern w:val="0"/>
          <w:sz w:val="21"/>
          <w:szCs w:val="21"/>
          <w:u w:val="single"/>
        </w:rPr>
        <w:t>项目时间、地点及人数安排</w:t>
      </w:r>
    </w:p>
    <w:p w14:paraId="3EC6DED2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预计时间：7月4日-7月8日或7月11日-7月15日（周三-周日）</w:t>
      </w:r>
    </w:p>
    <w:p w14:paraId="6E5EED90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预计时长：5天4晚</w:t>
      </w:r>
    </w:p>
    <w:p w14:paraId="4ACC8DE5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目标地点：海拉尔、再推荐另外一个（昆明、丽江、长白山之前去过，排除在外）</w:t>
      </w:r>
    </w:p>
    <w:p w14:paraId="246C6947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人数预估： 共100人（合作伙伴70人，陌陌内部员工30人）</w:t>
      </w:r>
    </w:p>
    <w:p w14:paraId="6E0F8F86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出发口岸：</w:t>
      </w:r>
    </w:p>
    <w:tbl>
      <w:tblPr>
        <w:tblW w:w="2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300"/>
      </w:tblGrid>
      <w:tr w:rsidR="00B27CA3" w:rsidRPr="00B27CA3" w14:paraId="0E0EF4EF" w14:textId="77777777" w:rsidTr="00B27CA3">
        <w:trPr>
          <w:trHeight w:val="34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1F380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北京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75E06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36</w:t>
            </w:r>
          </w:p>
        </w:tc>
      </w:tr>
      <w:tr w:rsidR="00B27CA3" w:rsidRPr="00B27CA3" w14:paraId="7F29CDFA" w14:textId="77777777" w:rsidTr="00B27CA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725E6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深圳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5E7C8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6</w:t>
            </w:r>
          </w:p>
        </w:tc>
      </w:tr>
      <w:tr w:rsidR="00B27CA3" w:rsidRPr="00B27CA3" w14:paraId="6750D36E" w14:textId="77777777" w:rsidTr="00B27CA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FE65C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上海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518B0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10</w:t>
            </w:r>
          </w:p>
        </w:tc>
      </w:tr>
      <w:tr w:rsidR="00B27CA3" w:rsidRPr="00B27CA3" w14:paraId="396086CD" w14:textId="77777777" w:rsidTr="00B27CA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C1C59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广州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83FB4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10</w:t>
            </w:r>
          </w:p>
        </w:tc>
      </w:tr>
      <w:tr w:rsidR="00B27CA3" w:rsidRPr="00B27CA3" w14:paraId="525D9267" w14:textId="77777777" w:rsidTr="00B27CA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038F8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天津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65B69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3</w:t>
            </w:r>
          </w:p>
        </w:tc>
      </w:tr>
      <w:tr w:rsidR="00B27CA3" w:rsidRPr="00B27CA3" w14:paraId="34ACA250" w14:textId="77777777" w:rsidTr="00B27CA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6494A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重庆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68DD9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6</w:t>
            </w:r>
          </w:p>
        </w:tc>
      </w:tr>
      <w:tr w:rsidR="00B27CA3" w:rsidRPr="00B27CA3" w14:paraId="1B230EC1" w14:textId="77777777" w:rsidTr="00B27CA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BA0CA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厦门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45B65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3</w:t>
            </w:r>
          </w:p>
        </w:tc>
      </w:tr>
      <w:tr w:rsidR="00B27CA3" w:rsidRPr="00B27CA3" w14:paraId="2DC82DFA" w14:textId="77777777" w:rsidTr="00B27CA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9CC85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成都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7CBF4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6</w:t>
            </w:r>
          </w:p>
        </w:tc>
      </w:tr>
      <w:tr w:rsidR="00B27CA3" w:rsidRPr="00B27CA3" w14:paraId="55C1EF3E" w14:textId="77777777" w:rsidTr="00B27CA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89D98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贵阳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2BEE3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2</w:t>
            </w:r>
          </w:p>
        </w:tc>
      </w:tr>
      <w:tr w:rsidR="00B27CA3" w:rsidRPr="00B27CA3" w14:paraId="33235EBB" w14:textId="77777777" w:rsidTr="00B27CA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40321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武汉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8C828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6</w:t>
            </w:r>
          </w:p>
        </w:tc>
      </w:tr>
      <w:tr w:rsidR="00B27CA3" w:rsidRPr="00B27CA3" w14:paraId="0B9D4A6B" w14:textId="77777777" w:rsidTr="00B27CA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5E840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沈阳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BC18E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2</w:t>
            </w:r>
          </w:p>
        </w:tc>
      </w:tr>
      <w:tr w:rsidR="00B27CA3" w:rsidRPr="00B27CA3" w14:paraId="76D4260F" w14:textId="77777777" w:rsidTr="00B27CA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C98A7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石家庄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917D6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2</w:t>
            </w:r>
          </w:p>
        </w:tc>
      </w:tr>
      <w:tr w:rsidR="00B27CA3" w:rsidRPr="00B27CA3" w14:paraId="10E60C83" w14:textId="77777777" w:rsidTr="00B27CA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50BEE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杭州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77450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2</w:t>
            </w:r>
          </w:p>
        </w:tc>
      </w:tr>
      <w:tr w:rsidR="00B27CA3" w:rsidRPr="00B27CA3" w14:paraId="5AAF0D8B" w14:textId="77777777" w:rsidTr="00B27CA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AC359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长沙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50B4B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2</w:t>
            </w:r>
          </w:p>
        </w:tc>
      </w:tr>
      <w:tr w:rsidR="00B27CA3" w:rsidRPr="00B27CA3" w14:paraId="290022EB" w14:textId="77777777" w:rsidTr="00B27CA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76A69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西安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9FA9D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2</w:t>
            </w:r>
          </w:p>
        </w:tc>
      </w:tr>
      <w:tr w:rsidR="00B27CA3" w:rsidRPr="00B27CA3" w14:paraId="7B0E7EC8" w14:textId="77777777" w:rsidTr="00B27CA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84899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郑州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5C40A" w14:textId="77777777" w:rsidR="00B27CA3" w:rsidRPr="00B27CA3" w:rsidRDefault="00B27CA3" w:rsidP="00B27CA3">
            <w:pPr>
              <w:widowControl/>
              <w:rPr>
                <w:rFonts w:ascii="DengXian" w:eastAsia="DengXian" w:hAnsi="DengXian" w:cs="Times New Roman" w:hint="eastAsia"/>
                <w:kern w:val="0"/>
              </w:rPr>
            </w:pPr>
            <w:r w:rsidRPr="00B27CA3">
              <w:rPr>
                <w:rFonts w:ascii="DengXian" w:eastAsia="DengXian" w:hAnsi="DengXian" w:cs="Times New Roman" w:hint="eastAsia"/>
                <w:color w:val="000000"/>
                <w:kern w:val="0"/>
              </w:rPr>
              <w:t>2</w:t>
            </w:r>
          </w:p>
        </w:tc>
      </w:tr>
    </w:tbl>
    <w:p w14:paraId="7622C5F9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</w:rPr>
        <w:t> </w:t>
      </w:r>
    </w:p>
    <w:p w14:paraId="2F11E375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lastRenderedPageBreak/>
        <w:t> </w:t>
      </w:r>
    </w:p>
    <w:p w14:paraId="5C4FDF09" w14:textId="77777777" w:rsidR="00B27CA3" w:rsidRPr="00B27CA3" w:rsidRDefault="00B27CA3" w:rsidP="00B27CA3">
      <w:pPr>
        <w:widowControl/>
        <w:ind w:left="720" w:hanging="720"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</w:rPr>
        <w:t>三、</w:t>
      </w:r>
      <w:r w:rsidRPr="00B27CA3">
        <w:rPr>
          <w:rFonts w:ascii="Times New Roman" w:eastAsia="DengXian" w:hAnsi="Times New Roman" w:cs="Times New Roman"/>
          <w:color w:val="000000"/>
          <w:kern w:val="0"/>
          <w:sz w:val="14"/>
          <w:szCs w:val="14"/>
        </w:rPr>
        <w:t>        </w:t>
      </w:r>
      <w:r w:rsidRPr="00B27CA3">
        <w:rPr>
          <w:rFonts w:ascii="DengXian" w:eastAsia="DengXian" w:hAnsi="DengXian" w:cs="Times New Roman" w:hint="eastAsia"/>
          <w:b/>
          <w:bCs/>
          <w:color w:val="000000"/>
          <w:kern w:val="0"/>
          <w:sz w:val="21"/>
          <w:szCs w:val="21"/>
          <w:u w:val="single"/>
        </w:rPr>
        <w:t>项目内容及要求</w:t>
      </w:r>
    </w:p>
    <w:p w14:paraId="7F2C4CCF" w14:textId="77777777" w:rsidR="00B27CA3" w:rsidRPr="00B27CA3" w:rsidRDefault="00B27CA3" w:rsidP="00B27CA3">
      <w:pPr>
        <w:widowControl/>
        <w:ind w:left="420" w:hanging="420"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Wingdings" w:eastAsia="DengXian" w:hAnsi="Wingdings" w:cs="Times New Roman"/>
          <w:color w:val="000000"/>
          <w:kern w:val="0"/>
        </w:rPr>
        <w:t></w:t>
      </w:r>
      <w:r w:rsidRPr="00B27CA3">
        <w:rPr>
          <w:rFonts w:ascii="Times New Roman" w:eastAsia="DengXian" w:hAnsi="Times New Roman" w:cs="Times New Roman"/>
          <w:color w:val="000000"/>
          <w:kern w:val="0"/>
          <w:sz w:val="14"/>
          <w:szCs w:val="14"/>
        </w:rPr>
        <w:t>  </w:t>
      </w:r>
      <w:r w:rsidRPr="00B27CA3">
        <w:rPr>
          <w:rFonts w:ascii="DengXian" w:eastAsia="DengXian" w:hAnsi="DengXian" w:cs="Times New Roman" w:hint="eastAsia"/>
          <w:b/>
          <w:bCs/>
          <w:color w:val="000000"/>
          <w:kern w:val="0"/>
          <w:sz w:val="21"/>
          <w:szCs w:val="21"/>
        </w:rPr>
        <w:t>会议日程（拟定）</w:t>
      </w:r>
    </w:p>
    <w:p w14:paraId="618B9AA8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第一天：飞抵接待，休息整顿；</w:t>
      </w:r>
    </w:p>
    <w:p w14:paraId="43B909CE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第二天：上午全体大会、下午三个小会场（每个30人）、晚上颁奖晚宴（颁奖为优秀代理商公司、团队颁奖）</w:t>
      </w:r>
    </w:p>
    <w:p w14:paraId="2CB9F775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第三天：旅游行程安排（避开团餐餐厅、行程定制化,，策划团建拓展活动，友谊赛增进团队凝聚力）</w:t>
      </w:r>
    </w:p>
    <w:p w14:paraId="75571240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第四天：旅游行程安排（可安排一个欢送晚宴）</w:t>
      </w:r>
    </w:p>
    <w:p w14:paraId="28641DC8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第五天：返程</w:t>
      </w:r>
    </w:p>
    <w:p w14:paraId="23D7574D" w14:textId="77777777" w:rsidR="00B27CA3" w:rsidRPr="00B27CA3" w:rsidRDefault="00B27CA3" w:rsidP="00B27CA3">
      <w:pPr>
        <w:widowControl/>
        <w:ind w:left="420" w:hanging="420"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Wingdings" w:eastAsia="DengXian" w:hAnsi="Wingdings" w:cs="Times New Roman"/>
          <w:color w:val="000000"/>
          <w:kern w:val="0"/>
        </w:rPr>
        <w:t></w:t>
      </w:r>
      <w:r w:rsidRPr="00B27CA3">
        <w:rPr>
          <w:rFonts w:ascii="Times New Roman" w:eastAsia="DengXian" w:hAnsi="Times New Roman" w:cs="Times New Roman"/>
          <w:color w:val="000000"/>
          <w:kern w:val="0"/>
          <w:sz w:val="14"/>
          <w:szCs w:val="14"/>
        </w:rPr>
        <w:t>  </w:t>
      </w:r>
      <w:r w:rsidRPr="00B27CA3">
        <w:rPr>
          <w:rFonts w:ascii="DengXian" w:eastAsia="DengXian" w:hAnsi="DengXian" w:cs="Times New Roman" w:hint="eastAsia"/>
          <w:b/>
          <w:bCs/>
          <w:color w:val="000000"/>
          <w:kern w:val="0"/>
          <w:sz w:val="21"/>
          <w:szCs w:val="21"/>
        </w:rPr>
        <w:t>行程要求：</w:t>
      </w:r>
    </w:p>
    <w:p w14:paraId="173CF00E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1、全程五星级酒店安排，并要求酒店有相配套的软硬件设施，以方便举办会议；客户航班要舒适，保证客户旅途的舒适度；</w:t>
      </w:r>
    </w:p>
    <w:p w14:paraId="17D1FCB7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2、欢迎晚宴及欢送晚宴场所需具有一定的私密及特色，相关流程内容也需提供创意安排；</w:t>
      </w:r>
    </w:p>
    <w:p w14:paraId="6DD8B1B9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3、专属行程定制安排，避免大众线路，可订制多条线路供选择；</w:t>
      </w:r>
    </w:p>
    <w:p w14:paraId="2D26FDB8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4、提供活动主题、主视觉创意制作，需结合当地特色及陌陌品牌要求，全程安排结合主题，体现“订制、专属、好玩、有趣”的特性；</w:t>
      </w:r>
    </w:p>
    <w:p w14:paraId="4BE04AE5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5、具有一定的灵活性，可变性，可随时根据贵宾需求而更改行程安排。</w:t>
      </w:r>
    </w:p>
    <w:p w14:paraId="76A5FEDE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</w:rPr>
        <w:t> </w:t>
      </w:r>
    </w:p>
    <w:p w14:paraId="592F7605" w14:textId="77777777" w:rsidR="00B27CA3" w:rsidRPr="00B27CA3" w:rsidRDefault="00B27CA3" w:rsidP="00B27CA3">
      <w:pPr>
        <w:widowControl/>
        <w:ind w:left="720" w:hanging="720"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</w:rPr>
        <w:t>四、</w:t>
      </w:r>
      <w:r w:rsidRPr="00B27CA3">
        <w:rPr>
          <w:rFonts w:ascii="Times New Roman" w:eastAsia="DengXian" w:hAnsi="Times New Roman" w:cs="Times New Roman"/>
          <w:color w:val="000000"/>
          <w:kern w:val="0"/>
          <w:sz w:val="14"/>
          <w:szCs w:val="14"/>
        </w:rPr>
        <w:t>        </w:t>
      </w:r>
      <w:r w:rsidRPr="00B27CA3">
        <w:rPr>
          <w:rFonts w:ascii="DengXian" w:eastAsia="DengXian" w:hAnsi="DengXian" w:cs="Times New Roman" w:hint="eastAsia"/>
          <w:b/>
          <w:bCs/>
          <w:color w:val="000000"/>
          <w:kern w:val="0"/>
          <w:sz w:val="21"/>
          <w:szCs w:val="21"/>
          <w:u w:val="single"/>
        </w:rPr>
        <w:t>活动提案内容</w:t>
      </w:r>
    </w:p>
    <w:p w14:paraId="0CCF82E6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1、地点推荐：除海拉尔以外，请推荐1个国内城市</w:t>
      </w:r>
    </w:p>
    <w:p w14:paraId="0FDD664F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2、航班及酒店推荐：舒适航班、每个地方酒店推荐2-3个。</w:t>
      </w:r>
    </w:p>
    <w:p w14:paraId="3BAA9361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3、活动场地及晚宴场地推荐</w:t>
      </w:r>
    </w:p>
    <w:p w14:paraId="19E4D04D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4、会议策划案：针对会议要求请提供符合公司形象的会议主题，方案保证可执行又有创新亮点。</w:t>
      </w:r>
    </w:p>
    <w:p w14:paraId="7A17C833" w14:textId="77777777" w:rsidR="00B27CA3" w:rsidRPr="00B27CA3" w:rsidRDefault="00B27CA3" w:rsidP="00B27CA3">
      <w:pPr>
        <w:widowControl/>
        <w:ind w:left="480" w:hanging="480"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Wingdings" w:eastAsia="DengXian" w:hAnsi="Wingdings" w:cs="Times New Roman"/>
          <w:color w:val="000000"/>
          <w:kern w:val="0"/>
        </w:rPr>
        <w:t></w:t>
      </w:r>
      <w:r w:rsidRPr="00B27CA3">
        <w:rPr>
          <w:rFonts w:ascii="Times New Roman" w:eastAsia="DengXian" w:hAnsi="Times New Roman" w:cs="Times New Roman"/>
          <w:color w:val="000000"/>
          <w:kern w:val="0"/>
          <w:sz w:val="14"/>
          <w:szCs w:val="14"/>
        </w:rPr>
        <w:t>   </w:t>
      </w: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活动主题策划、大会及晚宴主视觉设计（全体大会、分论坛、颁奖晚宴）、会场设计（含3D效果图）；</w:t>
      </w:r>
    </w:p>
    <w:p w14:paraId="7D684F80" w14:textId="77777777" w:rsidR="00B27CA3" w:rsidRPr="00B27CA3" w:rsidRDefault="00B27CA3" w:rsidP="00B27CA3">
      <w:pPr>
        <w:widowControl/>
        <w:ind w:left="480" w:hanging="480"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Wingdings" w:eastAsia="DengXian" w:hAnsi="Wingdings" w:cs="Times New Roman"/>
          <w:color w:val="000000"/>
          <w:kern w:val="0"/>
        </w:rPr>
        <w:t></w:t>
      </w:r>
      <w:r w:rsidRPr="00B27CA3">
        <w:rPr>
          <w:rFonts w:ascii="Times New Roman" w:eastAsia="DengXian" w:hAnsi="Times New Roman" w:cs="Times New Roman"/>
          <w:color w:val="000000"/>
          <w:kern w:val="0"/>
          <w:sz w:val="14"/>
          <w:szCs w:val="14"/>
        </w:rPr>
        <w:t>   </w:t>
      </w: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活动视频策划：含大会开场及晚宴颁奖视频制作；</w:t>
      </w:r>
    </w:p>
    <w:p w14:paraId="25BECED3" w14:textId="77777777" w:rsidR="00B27CA3" w:rsidRPr="00B27CA3" w:rsidRDefault="00B27CA3" w:rsidP="00B27CA3">
      <w:pPr>
        <w:widowControl/>
        <w:ind w:left="480" w:hanging="480"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Wingdings" w:eastAsia="DengXian" w:hAnsi="Wingdings" w:cs="Times New Roman"/>
          <w:color w:val="000000"/>
          <w:kern w:val="0"/>
        </w:rPr>
        <w:t></w:t>
      </w:r>
      <w:r w:rsidRPr="00B27CA3">
        <w:rPr>
          <w:rFonts w:ascii="Times New Roman" w:eastAsia="DengXian" w:hAnsi="Times New Roman" w:cs="Times New Roman"/>
          <w:color w:val="000000"/>
          <w:kern w:val="0"/>
          <w:sz w:val="14"/>
          <w:szCs w:val="14"/>
        </w:rPr>
        <w:t>   </w:t>
      </w: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涉及创意签到及全体大会、晚宴场外互动、节目表演、互动游戏推荐。</w:t>
      </w:r>
    </w:p>
    <w:p w14:paraId="241128BB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5、活动礼品推荐</w:t>
      </w:r>
    </w:p>
    <w:p w14:paraId="41544AA0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伴手礼、抽奖礼品（一二三等奖）推荐； </w:t>
      </w:r>
    </w:p>
    <w:p w14:paraId="59BFBAE8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抽奖奖品</w:t>
      </w:r>
      <w:bookmarkStart w:id="0" w:name="_GoBack"/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预算</w:t>
      </w:r>
      <w:bookmarkEnd w:id="0"/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  6万</w:t>
      </w:r>
    </w:p>
    <w:p w14:paraId="2B724DDE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三等奖 1500左右    10个  </w:t>
      </w:r>
    </w:p>
    <w:p w14:paraId="5B221397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二等奖3000 左右    6个  </w:t>
      </w:r>
    </w:p>
    <w:p w14:paraId="45566ECF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一等奖6000   左右   3个</w:t>
      </w:r>
    </w:p>
    <w:p w14:paraId="1FE5C4B5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特等奖  10000左右      1个</w:t>
      </w:r>
    </w:p>
    <w:p w14:paraId="4CB80E7F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 </w:t>
      </w:r>
    </w:p>
    <w:p w14:paraId="4C11078F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6、公司曾经策划、执行的类似活动案例（2个以上）</w:t>
      </w:r>
    </w:p>
    <w:p w14:paraId="445BE898" w14:textId="77777777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7、其他相关资源及优势</w:t>
      </w:r>
    </w:p>
    <w:p w14:paraId="14F6DB6C" w14:textId="1720CDF4" w:rsidR="00B27CA3" w:rsidRPr="00B27CA3" w:rsidRDefault="00B27CA3" w:rsidP="00B27CA3">
      <w:pPr>
        <w:widowControl/>
        <w:rPr>
          <w:rFonts w:ascii="DengXian" w:eastAsia="DengXian" w:hAnsi="DengXian" w:cs="Times New Roman" w:hint="eastAsia"/>
          <w:color w:val="000000"/>
          <w:kern w:val="0"/>
        </w:rPr>
      </w:pPr>
      <w:r w:rsidRPr="00B27CA3">
        <w:rPr>
          <w:rFonts w:ascii="DengXian" w:eastAsia="DengXian" w:hAnsi="DengXian" w:cs="Times New Roman" w:hint="eastAsia"/>
          <w:color w:val="000000"/>
          <w:kern w:val="0"/>
          <w:sz w:val="21"/>
          <w:szCs w:val="21"/>
        </w:rPr>
        <w:t>8、报价（含机票、酒店、会务、视频、旅游、礼品、所有物料及第三方费用，如礼仪、摄影摄像等）</w:t>
      </w:r>
    </w:p>
    <w:p w14:paraId="5D4C8DA8" w14:textId="77777777" w:rsidR="00C45816" w:rsidRPr="00B27CA3" w:rsidRDefault="00B21427"/>
    <w:sectPr w:rsidR="00C45816" w:rsidRPr="00B27CA3" w:rsidSect="0029286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A3"/>
    <w:rsid w:val="000260C1"/>
    <w:rsid w:val="00292860"/>
    <w:rsid w:val="00AF2428"/>
    <w:rsid w:val="00B21427"/>
    <w:rsid w:val="00B27CA3"/>
    <w:rsid w:val="00F2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E2848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27CA3"/>
  </w:style>
  <w:style w:type="paragraph" w:styleId="a3">
    <w:name w:val="List Paragraph"/>
    <w:basedOn w:val="a"/>
    <w:uiPriority w:val="34"/>
    <w:qFormat/>
    <w:rsid w:val="00B27CA3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196</Words>
  <Characters>1122</Characters>
  <Application>Microsoft Macintosh Word</Application>
  <DocSecurity>0</DocSecurity>
  <Lines>9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2</cp:revision>
  <dcterms:created xsi:type="dcterms:W3CDTF">2018-05-22T03:29:00Z</dcterms:created>
  <dcterms:modified xsi:type="dcterms:W3CDTF">2018-05-22T03:43:00Z</dcterms:modified>
</cp:coreProperties>
</file>