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page" w:horzAnchor="page" w:tblpX="1061" w:tblpY="1955"/>
        <w:tblOverlap w:val="never"/>
        <w:tblW w:w="10060" w:type="dxa"/>
        <w:tblInd w:w="0" w:type="dxa"/>
        <w:tblLayout w:type="autofit"/>
        <w:tblCellMar>
          <w:top w:w="0" w:type="dxa"/>
          <w:left w:w="108" w:type="dxa"/>
          <w:bottom w:w="0" w:type="dxa"/>
          <w:right w:w="108" w:type="dxa"/>
        </w:tblCellMar>
      </w:tblPr>
      <w:tblGrid>
        <w:gridCol w:w="1271"/>
        <w:gridCol w:w="1276"/>
        <w:gridCol w:w="2126"/>
        <w:gridCol w:w="992"/>
        <w:gridCol w:w="1985"/>
        <w:gridCol w:w="850"/>
        <w:gridCol w:w="1560"/>
      </w:tblGrid>
      <w:tr>
        <w:tblPrEx>
          <w:tblCellMar>
            <w:top w:w="0" w:type="dxa"/>
            <w:left w:w="108" w:type="dxa"/>
            <w:bottom w:w="0" w:type="dxa"/>
            <w:right w:w="108" w:type="dxa"/>
          </w:tblCellMar>
        </w:tblPrEx>
        <w:trPr>
          <w:trHeight w:val="420" w:hRule="atLeast"/>
        </w:trPr>
        <w:tc>
          <w:tcPr>
            <w:tcW w:w="10060" w:type="dxa"/>
            <w:gridSpan w:val="7"/>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采购订单</w:t>
            </w:r>
          </w:p>
        </w:tc>
      </w:tr>
      <w:tr>
        <w:tblPrEx>
          <w:tblCellMar>
            <w:top w:w="0" w:type="dxa"/>
            <w:left w:w="108" w:type="dxa"/>
            <w:bottom w:w="0" w:type="dxa"/>
            <w:right w:w="108" w:type="dxa"/>
          </w:tblCellMar>
        </w:tblPrEx>
        <w:trPr>
          <w:trHeight w:val="420" w:hRule="atLeast"/>
        </w:trPr>
        <w:tc>
          <w:tcPr>
            <w:tcW w:w="2547" w:type="dxa"/>
            <w:gridSpan w:val="2"/>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公司名称（甲方）</w:t>
            </w:r>
          </w:p>
        </w:tc>
        <w:tc>
          <w:tcPr>
            <w:tcW w:w="2126" w:type="dxa"/>
            <w:tcBorders>
              <w:top w:val="single" w:color="auto" w:sz="4" w:space="0"/>
              <w:left w:val="nil"/>
              <w:bottom w:val="single" w:color="auto" w:sz="4" w:space="0"/>
              <w:right w:val="single" w:color="auto" w:sz="4" w:space="0"/>
            </w:tcBorders>
            <w:vAlign w:val="center"/>
          </w:tcPr>
          <w:p>
            <w:pPr>
              <w:spacing w:after="0"/>
              <w:jc w:val="both"/>
              <w:rPr>
                <w:rFonts w:hint="default" w:ascii="宋体" w:hAnsi="宋体" w:cs="宋体"/>
                <w:b/>
                <w:bCs/>
                <w:szCs w:val="20"/>
                <w:lang w:val="en-US" w:eastAsia="zh-CN"/>
              </w:rPr>
            </w:pPr>
            <w:r>
              <w:rPr>
                <w:rFonts w:hint="eastAsia" w:ascii="宋体" w:hAnsi="宋体" w:cs="宋体"/>
                <w:b/>
                <w:bCs/>
                <w:szCs w:val="20"/>
                <w:lang w:val="en-US" w:eastAsia="zh-CN"/>
              </w:rPr>
              <w:t>江苏先声药业有限公司</w:t>
            </w:r>
          </w:p>
        </w:tc>
        <w:tc>
          <w:tcPr>
            <w:tcW w:w="992"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订单号</w:t>
            </w:r>
          </w:p>
        </w:tc>
        <w:tc>
          <w:tcPr>
            <w:tcW w:w="1985" w:type="dxa"/>
            <w:tcBorders>
              <w:top w:val="single" w:color="auto" w:sz="4" w:space="0"/>
              <w:left w:val="nil"/>
              <w:bottom w:val="single" w:color="auto" w:sz="4" w:space="0"/>
              <w:right w:val="single" w:color="auto" w:sz="4" w:space="0"/>
            </w:tcBorders>
            <w:vAlign w:val="center"/>
          </w:tcPr>
          <w:p>
            <w:pPr>
              <w:spacing w:after="0"/>
              <w:jc w:val="center"/>
              <w:rPr>
                <w:rFonts w:hint="default" w:ascii="宋体" w:hAnsi="宋体" w:cs="宋体"/>
                <w:b/>
                <w:bCs/>
                <w:szCs w:val="20"/>
                <w:lang w:val="en-US" w:eastAsia="zh-CN"/>
              </w:rPr>
            </w:pPr>
          </w:p>
        </w:tc>
        <w:tc>
          <w:tcPr>
            <w:tcW w:w="850"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日期</w:t>
            </w:r>
          </w:p>
        </w:tc>
        <w:tc>
          <w:tcPr>
            <w:tcW w:w="1560" w:type="dxa"/>
            <w:tcBorders>
              <w:top w:val="single" w:color="auto" w:sz="4" w:space="0"/>
              <w:left w:val="nil"/>
              <w:bottom w:val="single" w:color="auto" w:sz="4" w:space="0"/>
              <w:right w:val="single" w:color="auto" w:sz="4" w:space="0"/>
            </w:tcBorders>
            <w:vAlign w:val="center"/>
          </w:tcPr>
          <w:p>
            <w:pPr>
              <w:spacing w:after="0"/>
              <w:jc w:val="center"/>
              <w:rPr>
                <w:rFonts w:hint="default" w:ascii="宋体" w:hAnsi="宋体" w:cs="宋体"/>
                <w:b/>
                <w:bCs/>
                <w:szCs w:val="20"/>
                <w:lang w:val="en-US" w:eastAsia="zh-CN"/>
              </w:rPr>
            </w:pPr>
          </w:p>
        </w:tc>
      </w:tr>
      <w:tr>
        <w:tblPrEx>
          <w:tblCellMar>
            <w:top w:w="0" w:type="dxa"/>
            <w:left w:w="108" w:type="dxa"/>
            <w:bottom w:w="0" w:type="dxa"/>
            <w:right w:w="108" w:type="dxa"/>
          </w:tblCellMar>
        </w:tblPrEx>
        <w:trPr>
          <w:trHeight w:val="420" w:hRule="atLeast"/>
        </w:trPr>
        <w:tc>
          <w:tcPr>
            <w:tcW w:w="2547" w:type="dxa"/>
            <w:gridSpan w:val="2"/>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供应商（乙方）</w:t>
            </w:r>
          </w:p>
        </w:tc>
        <w:tc>
          <w:tcPr>
            <w:tcW w:w="2126" w:type="dxa"/>
            <w:tcBorders>
              <w:top w:val="single" w:color="auto" w:sz="4" w:space="0"/>
              <w:left w:val="nil"/>
              <w:bottom w:val="single" w:color="auto" w:sz="4" w:space="0"/>
              <w:right w:val="single" w:color="auto" w:sz="4" w:space="0"/>
            </w:tcBorders>
            <w:vAlign w:val="center"/>
          </w:tcPr>
          <w:p>
            <w:pPr>
              <w:spacing w:after="0"/>
              <w:jc w:val="left"/>
              <w:rPr>
                <w:rFonts w:ascii="宋体" w:hAnsi="宋体" w:cs="宋体"/>
                <w:b/>
                <w:bCs/>
                <w:szCs w:val="20"/>
                <w:lang w:eastAsia="zh-CN"/>
              </w:rPr>
            </w:pPr>
            <w:r>
              <w:rPr>
                <w:rFonts w:hint="eastAsia" w:ascii="宋体" w:hAnsi="宋体" w:cs="宋体"/>
                <w:b/>
                <w:bCs/>
                <w:szCs w:val="20"/>
                <w:lang w:eastAsia="zh-CN"/>
              </w:rPr>
              <w:t>康辉集团北京国际会议展览有限公司</w:t>
            </w:r>
          </w:p>
        </w:tc>
        <w:tc>
          <w:tcPr>
            <w:tcW w:w="992"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联系人</w:t>
            </w:r>
          </w:p>
        </w:tc>
        <w:tc>
          <w:tcPr>
            <w:tcW w:w="1985" w:type="dxa"/>
            <w:tcBorders>
              <w:top w:val="single" w:color="auto" w:sz="4" w:space="0"/>
              <w:left w:val="nil"/>
              <w:bottom w:val="single" w:color="auto" w:sz="4" w:space="0"/>
              <w:right w:val="single" w:color="auto" w:sz="4" w:space="0"/>
            </w:tcBorders>
            <w:vAlign w:val="center"/>
          </w:tcPr>
          <w:p>
            <w:pPr>
              <w:spacing w:after="0"/>
              <w:jc w:val="center"/>
              <w:rPr>
                <w:rFonts w:hint="default" w:ascii="宋体" w:hAnsi="宋体" w:cs="宋体"/>
                <w:b/>
                <w:bCs/>
                <w:szCs w:val="20"/>
                <w:lang w:val="en-US" w:eastAsia="zh-CN"/>
              </w:rPr>
            </w:pPr>
            <w:r>
              <w:rPr>
                <w:rFonts w:hint="eastAsia" w:ascii="宋体" w:hAnsi="宋体" w:cs="宋体"/>
                <w:b/>
                <w:bCs/>
                <w:szCs w:val="20"/>
                <w:lang w:val="en-US" w:eastAsia="zh-CN"/>
              </w:rPr>
              <w:t>许寰宇</w:t>
            </w:r>
          </w:p>
        </w:tc>
        <w:tc>
          <w:tcPr>
            <w:tcW w:w="850"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电话</w:t>
            </w:r>
          </w:p>
        </w:tc>
        <w:tc>
          <w:tcPr>
            <w:tcW w:w="1560"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color w:val="000000"/>
                <w:szCs w:val="20"/>
                <w:lang w:eastAsia="zh-CN"/>
              </w:rPr>
            </w:pPr>
            <w:r>
              <w:rPr>
                <w:rFonts w:hint="eastAsia" w:ascii="宋体" w:hAnsi="宋体" w:cs="宋体"/>
                <w:b/>
                <w:bCs/>
                <w:szCs w:val="20"/>
                <w:lang w:eastAsia="zh-CN"/>
              </w:rPr>
              <w:t>项目/会议号</w:t>
            </w:r>
          </w:p>
        </w:tc>
        <w:tc>
          <w:tcPr>
            <w:tcW w:w="1276"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color w:val="000000"/>
                <w:szCs w:val="20"/>
                <w:lang w:eastAsia="zh-CN"/>
              </w:rPr>
            </w:pPr>
            <w:r>
              <w:rPr>
                <w:rFonts w:hint="eastAsia" w:ascii="宋体" w:hAnsi="宋体" w:cs="宋体"/>
                <w:b/>
                <w:bCs/>
                <w:szCs w:val="20"/>
                <w:lang w:eastAsia="zh-CN"/>
              </w:rPr>
              <w:t>内容</w:t>
            </w:r>
          </w:p>
        </w:tc>
        <w:tc>
          <w:tcPr>
            <w:tcW w:w="2126"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color w:val="000000"/>
                <w:szCs w:val="20"/>
                <w:lang w:eastAsia="zh-CN"/>
              </w:rPr>
            </w:pPr>
            <w:r>
              <w:rPr>
                <w:rFonts w:hint="eastAsia" w:ascii="宋体" w:hAnsi="宋体" w:cs="宋体"/>
                <w:b/>
                <w:bCs/>
                <w:szCs w:val="20"/>
                <w:lang w:eastAsia="zh-CN"/>
              </w:rPr>
              <w:t>具体描述</w:t>
            </w:r>
          </w:p>
        </w:tc>
        <w:tc>
          <w:tcPr>
            <w:tcW w:w="992"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color w:val="000000"/>
                <w:szCs w:val="20"/>
                <w:lang w:eastAsia="zh-CN"/>
              </w:rPr>
            </w:pPr>
            <w:r>
              <w:rPr>
                <w:rFonts w:hint="eastAsia" w:ascii="宋体" w:hAnsi="宋体" w:cs="宋体"/>
                <w:b/>
                <w:bCs/>
                <w:szCs w:val="20"/>
                <w:lang w:eastAsia="zh-CN"/>
              </w:rPr>
              <w:t>单位</w:t>
            </w:r>
          </w:p>
        </w:tc>
        <w:tc>
          <w:tcPr>
            <w:tcW w:w="1985"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color w:val="000000"/>
                <w:szCs w:val="20"/>
                <w:lang w:eastAsia="zh-CN"/>
              </w:rPr>
            </w:pPr>
            <w:r>
              <w:rPr>
                <w:rFonts w:hint="eastAsia" w:ascii="宋体" w:hAnsi="宋体" w:cs="宋体"/>
                <w:b/>
                <w:bCs/>
                <w:szCs w:val="20"/>
                <w:lang w:eastAsia="zh-CN"/>
              </w:rPr>
              <w:t>单价 (人民币：元)</w:t>
            </w:r>
          </w:p>
        </w:tc>
        <w:tc>
          <w:tcPr>
            <w:tcW w:w="2410" w:type="dxa"/>
            <w:gridSpan w:val="2"/>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color w:val="000000"/>
                <w:szCs w:val="20"/>
                <w:lang w:eastAsia="zh-CN"/>
              </w:rPr>
            </w:pPr>
            <w:r>
              <w:rPr>
                <w:rFonts w:hint="eastAsia" w:ascii="宋体" w:hAnsi="宋体" w:cs="宋体"/>
                <w:b/>
                <w:bCs/>
                <w:szCs w:val="20"/>
                <w:lang w:eastAsia="zh-CN"/>
              </w:rPr>
              <w:t>备注</w:t>
            </w: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wordWrap/>
              <w:spacing w:line="240" w:lineRule="auto"/>
              <w:jc w:val="center"/>
              <w:textAlignment w:val="center"/>
              <w:rPr>
                <w:rFonts w:ascii="宋体" w:hAnsi="宋体" w:cs="宋体"/>
                <w:b/>
                <w:bCs/>
                <w:szCs w:val="20"/>
                <w:lang w:eastAsia="zh-CN"/>
              </w:rPr>
            </w:pPr>
            <w:r>
              <w:rPr>
                <w:rFonts w:ascii="宋体" w:hAnsi="宋体" w:eastAsia="宋体" w:cs="宋体"/>
                <w:b/>
                <w:bCs/>
                <w:color w:val="000000"/>
                <w:kern w:val="0"/>
                <w:sz w:val="20"/>
                <w:szCs w:val="20"/>
                <w:lang w:val="en-US" w:eastAsia="zh-CN" w:bidi="ar"/>
              </w:rPr>
              <w:t>PUR2311032</w:t>
            </w:r>
          </w:p>
        </w:tc>
        <w:tc>
          <w:tcPr>
            <w:tcW w:w="12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line="240" w:lineRule="auto"/>
              <w:jc w:val="center"/>
              <w:textAlignment w:val="center"/>
              <w:rPr>
                <w:rFonts w:hint="default" w:ascii="宋体" w:hAnsi="宋体" w:cs="宋体"/>
                <w:b/>
                <w:bCs/>
                <w:szCs w:val="20"/>
                <w:lang w:val="en-US" w:eastAsia="zh-CN"/>
              </w:rPr>
            </w:pPr>
            <w:r>
              <w:rPr>
                <w:rFonts w:ascii="宋体" w:hAnsi="宋体" w:eastAsia="宋体" w:cs="宋体"/>
                <w:b/>
                <w:bCs/>
                <w:color w:val="000000"/>
                <w:kern w:val="0"/>
                <w:sz w:val="20"/>
                <w:szCs w:val="20"/>
                <w:lang w:val="en-US" w:eastAsia="zh-CN" w:bidi="ar"/>
              </w:rPr>
              <w:t>11.18韩艳艳会议</w:t>
            </w:r>
            <w:r>
              <w:rPr>
                <w:rFonts w:hint="eastAsia" w:ascii="宋体" w:hAnsi="宋体" w:cs="宋体"/>
                <w:b/>
                <w:bCs/>
                <w:color w:val="000000"/>
                <w:kern w:val="0"/>
                <w:sz w:val="20"/>
                <w:szCs w:val="20"/>
                <w:lang w:val="en-US" w:eastAsia="zh-CN" w:bidi="ar"/>
              </w:rPr>
              <w:t>-地接社</w:t>
            </w:r>
          </w:p>
        </w:tc>
        <w:tc>
          <w:tcPr>
            <w:tcW w:w="2126" w:type="dxa"/>
            <w:tcBorders>
              <w:top w:val="single" w:color="auto" w:sz="4" w:space="0"/>
              <w:left w:val="nil"/>
              <w:bottom w:val="single" w:color="auto" w:sz="4" w:space="0"/>
              <w:right w:val="single" w:color="auto" w:sz="4" w:space="0"/>
            </w:tcBorders>
            <w:vAlign w:val="center"/>
          </w:tcPr>
          <w:p>
            <w:pPr>
              <w:spacing w:after="0"/>
              <w:jc w:val="center"/>
              <w:rPr>
                <w:rFonts w:hint="default" w:ascii="宋体" w:hAnsi="宋体" w:cs="宋体"/>
                <w:b/>
                <w:bCs/>
                <w:szCs w:val="20"/>
                <w:lang w:val="en-US" w:eastAsia="zh-CN"/>
              </w:rPr>
            </w:pPr>
            <w:r>
              <w:rPr>
                <w:rFonts w:hint="eastAsia" w:ascii="宋体" w:hAnsi="宋体" w:cs="宋体"/>
                <w:b/>
                <w:bCs/>
                <w:szCs w:val="20"/>
                <w:lang w:val="en-US" w:eastAsia="zh-CN"/>
              </w:rPr>
              <w:t>/</w:t>
            </w:r>
          </w:p>
        </w:tc>
        <w:tc>
          <w:tcPr>
            <w:tcW w:w="992" w:type="dxa"/>
            <w:tcBorders>
              <w:top w:val="single" w:color="auto" w:sz="4" w:space="0"/>
              <w:left w:val="nil"/>
              <w:bottom w:val="single" w:color="auto" w:sz="4" w:space="0"/>
              <w:right w:val="single" w:color="auto" w:sz="4" w:space="0"/>
            </w:tcBorders>
            <w:vAlign w:val="center"/>
          </w:tcPr>
          <w:p>
            <w:pPr>
              <w:spacing w:after="0"/>
              <w:jc w:val="center"/>
              <w:rPr>
                <w:rFonts w:hint="default" w:ascii="宋体" w:hAnsi="宋体" w:cs="宋体"/>
                <w:b/>
                <w:bCs/>
                <w:szCs w:val="20"/>
                <w:lang w:val="en-US" w:eastAsia="zh-CN"/>
              </w:rPr>
            </w:pPr>
            <w:r>
              <w:rPr>
                <w:rFonts w:hint="eastAsia" w:ascii="宋体" w:hAnsi="宋体" w:cs="宋体"/>
                <w:b/>
                <w:bCs/>
                <w:szCs w:val="20"/>
                <w:lang w:val="en-US" w:eastAsia="zh-CN"/>
              </w:rPr>
              <w:t>1</w:t>
            </w:r>
          </w:p>
        </w:tc>
        <w:tc>
          <w:tcPr>
            <w:tcW w:w="19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line="240" w:lineRule="auto"/>
              <w:jc w:val="center"/>
              <w:textAlignment w:val="center"/>
              <w:rPr>
                <w:rFonts w:hint="default" w:ascii="宋体" w:hAnsi="宋体" w:cs="宋体"/>
                <w:b/>
                <w:bCs/>
                <w:szCs w:val="20"/>
                <w:lang w:val="en-US" w:eastAsia="zh-CN"/>
              </w:rPr>
            </w:pPr>
            <w:r>
              <w:rPr>
                <w:rFonts w:ascii="宋体" w:hAnsi="宋体" w:eastAsia="宋体" w:cs="宋体"/>
                <w:b/>
                <w:bCs/>
                <w:color w:val="000000"/>
                <w:kern w:val="0"/>
                <w:sz w:val="20"/>
                <w:szCs w:val="20"/>
                <w:lang w:val="en-US" w:eastAsia="zh-CN" w:bidi="ar"/>
              </w:rPr>
              <w:t>25056.28</w:t>
            </w:r>
          </w:p>
        </w:tc>
        <w:tc>
          <w:tcPr>
            <w:tcW w:w="2410" w:type="dxa"/>
            <w:gridSpan w:val="2"/>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价格明细见附件</w:t>
            </w: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wordWrap/>
              <w:spacing w:line="240" w:lineRule="auto"/>
              <w:jc w:val="center"/>
              <w:textAlignment w:val="center"/>
              <w:rPr>
                <w:rFonts w:ascii="宋体" w:hAnsi="宋体" w:cs="宋体"/>
                <w:b/>
                <w:bCs/>
                <w:szCs w:val="20"/>
                <w:lang w:eastAsia="zh-CN"/>
              </w:rPr>
            </w:pPr>
            <w:r>
              <w:rPr>
                <w:rFonts w:ascii="宋体" w:hAnsi="宋体" w:eastAsia="宋体" w:cs="宋体"/>
                <w:b/>
                <w:bCs/>
                <w:color w:val="000000"/>
                <w:kern w:val="0"/>
                <w:sz w:val="20"/>
                <w:szCs w:val="20"/>
                <w:lang w:val="en-US" w:eastAsia="zh-CN" w:bidi="ar"/>
              </w:rPr>
              <w:t>PUR2311019</w:t>
            </w:r>
          </w:p>
        </w:tc>
        <w:tc>
          <w:tcPr>
            <w:tcW w:w="12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line="240" w:lineRule="auto"/>
              <w:jc w:val="center"/>
              <w:textAlignment w:val="center"/>
              <w:rPr>
                <w:rFonts w:hint="default" w:ascii="宋体" w:hAnsi="宋体" w:cs="宋体"/>
                <w:b/>
                <w:bCs/>
                <w:szCs w:val="20"/>
                <w:lang w:val="en-US" w:eastAsia="zh-CN"/>
              </w:rPr>
            </w:pPr>
            <w:r>
              <w:rPr>
                <w:rFonts w:ascii="宋体" w:hAnsi="宋体" w:eastAsia="宋体" w:cs="宋体"/>
                <w:b/>
                <w:bCs/>
                <w:color w:val="000000"/>
                <w:kern w:val="0"/>
                <w:sz w:val="20"/>
                <w:szCs w:val="20"/>
                <w:lang w:val="en-US" w:eastAsia="zh-CN" w:bidi="ar"/>
              </w:rPr>
              <w:t>12.2邓佳会议</w:t>
            </w:r>
            <w:r>
              <w:rPr>
                <w:rFonts w:hint="eastAsia" w:ascii="宋体" w:hAnsi="宋体" w:cs="宋体"/>
                <w:b/>
                <w:bCs/>
                <w:color w:val="000000"/>
                <w:kern w:val="0"/>
                <w:sz w:val="20"/>
                <w:szCs w:val="20"/>
                <w:lang w:val="en-US" w:eastAsia="zh-CN" w:bidi="ar"/>
              </w:rPr>
              <w:t>-地接社</w:t>
            </w:r>
          </w:p>
        </w:tc>
        <w:tc>
          <w:tcPr>
            <w:tcW w:w="2126" w:type="dxa"/>
            <w:tcBorders>
              <w:top w:val="single" w:color="auto" w:sz="4" w:space="0"/>
              <w:left w:val="nil"/>
              <w:bottom w:val="single" w:color="auto" w:sz="4" w:space="0"/>
              <w:right w:val="single" w:color="auto" w:sz="4" w:space="0"/>
            </w:tcBorders>
            <w:vAlign w:val="center"/>
          </w:tcPr>
          <w:p>
            <w:pPr>
              <w:spacing w:after="0"/>
              <w:jc w:val="center"/>
              <w:rPr>
                <w:rFonts w:hint="default" w:ascii="宋体" w:hAnsi="宋体" w:cs="宋体"/>
                <w:b/>
                <w:bCs/>
                <w:szCs w:val="20"/>
                <w:lang w:val="en-US" w:eastAsia="zh-CN"/>
              </w:rPr>
            </w:pPr>
            <w:r>
              <w:rPr>
                <w:rFonts w:hint="eastAsia" w:ascii="宋体" w:hAnsi="宋体" w:cs="宋体"/>
                <w:b/>
                <w:bCs/>
                <w:szCs w:val="20"/>
                <w:lang w:val="en-US" w:eastAsia="zh-CN"/>
              </w:rPr>
              <w:t>/</w:t>
            </w:r>
          </w:p>
        </w:tc>
        <w:tc>
          <w:tcPr>
            <w:tcW w:w="992" w:type="dxa"/>
            <w:tcBorders>
              <w:top w:val="single" w:color="auto" w:sz="4" w:space="0"/>
              <w:left w:val="nil"/>
              <w:bottom w:val="single" w:color="auto" w:sz="4" w:space="0"/>
              <w:right w:val="single" w:color="auto" w:sz="4" w:space="0"/>
            </w:tcBorders>
            <w:vAlign w:val="center"/>
          </w:tcPr>
          <w:p>
            <w:pPr>
              <w:spacing w:after="0"/>
              <w:jc w:val="center"/>
              <w:rPr>
                <w:rFonts w:hint="default" w:ascii="宋体" w:hAnsi="宋体" w:cs="宋体"/>
                <w:b/>
                <w:bCs/>
                <w:szCs w:val="20"/>
                <w:lang w:val="en-US" w:eastAsia="zh-CN"/>
              </w:rPr>
            </w:pPr>
            <w:r>
              <w:rPr>
                <w:rFonts w:hint="eastAsia" w:ascii="宋体" w:hAnsi="宋体" w:cs="宋体"/>
                <w:b/>
                <w:bCs/>
                <w:szCs w:val="20"/>
                <w:lang w:val="en-US" w:eastAsia="zh-CN"/>
              </w:rPr>
              <w:t>1</w:t>
            </w:r>
          </w:p>
        </w:tc>
        <w:tc>
          <w:tcPr>
            <w:tcW w:w="19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line="240" w:lineRule="auto"/>
              <w:jc w:val="center"/>
              <w:textAlignment w:val="center"/>
              <w:rPr>
                <w:rFonts w:ascii="宋体" w:hAnsi="宋体" w:cs="宋体"/>
                <w:b/>
                <w:bCs/>
                <w:szCs w:val="20"/>
                <w:lang w:eastAsia="zh-CN"/>
              </w:rPr>
            </w:pPr>
            <w:r>
              <w:rPr>
                <w:rFonts w:ascii="宋体" w:hAnsi="宋体" w:eastAsia="宋体" w:cs="宋体"/>
                <w:b/>
                <w:bCs/>
                <w:color w:val="000000"/>
                <w:kern w:val="0"/>
                <w:sz w:val="20"/>
                <w:szCs w:val="20"/>
                <w:lang w:val="en-US" w:eastAsia="zh-CN" w:bidi="ar"/>
              </w:rPr>
              <w:t>49991.21</w:t>
            </w:r>
          </w:p>
        </w:tc>
        <w:tc>
          <w:tcPr>
            <w:tcW w:w="2410" w:type="dxa"/>
            <w:gridSpan w:val="2"/>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价格明细见附件</w:t>
            </w: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1276"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2126"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992"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1985"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2410" w:type="dxa"/>
            <w:gridSpan w:val="2"/>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1276"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2126"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992"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1985"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2410" w:type="dxa"/>
            <w:gridSpan w:val="2"/>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1276"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2126"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992"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1985"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2410" w:type="dxa"/>
            <w:gridSpan w:val="2"/>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1276"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2126"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992"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1985"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2410" w:type="dxa"/>
            <w:gridSpan w:val="2"/>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总金额</w:t>
            </w:r>
          </w:p>
        </w:tc>
        <w:tc>
          <w:tcPr>
            <w:tcW w:w="8789" w:type="dxa"/>
            <w:gridSpan w:val="6"/>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b/>
                <w:bCs/>
                <w:szCs w:val="20"/>
                <w:lang w:eastAsia="zh-CN"/>
              </w:rPr>
              <w:t>　¥</w:t>
            </w:r>
            <w:r>
              <w:rPr>
                <w:rFonts w:hint="eastAsia" w:ascii="宋体" w:hAnsi="宋体"/>
                <w:b/>
                <w:bCs/>
                <w:szCs w:val="20"/>
                <w:lang w:val="en-US" w:eastAsia="zh-CN"/>
              </w:rPr>
              <w:t xml:space="preserve"> </w:t>
            </w:r>
            <w:r>
              <w:rPr>
                <w:rFonts w:hint="eastAsia" w:ascii="宋体" w:hAnsi="宋体"/>
                <w:b/>
                <w:bCs/>
                <w:szCs w:val="20"/>
                <w:lang w:eastAsia="zh-CN"/>
              </w:rPr>
              <w:t>75047.49元（大写：人民币柒万伍仟零肆拾柒元肆角玖分）</w:t>
            </w: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发票类型</w:t>
            </w:r>
          </w:p>
        </w:tc>
        <w:tc>
          <w:tcPr>
            <w:tcW w:w="8789" w:type="dxa"/>
            <w:gridSpan w:val="6"/>
            <w:tcBorders>
              <w:top w:val="single" w:color="auto" w:sz="4" w:space="0"/>
              <w:left w:val="nil"/>
              <w:bottom w:val="single" w:color="auto" w:sz="4" w:space="0"/>
              <w:right w:val="single" w:color="auto" w:sz="4" w:space="0"/>
            </w:tcBorders>
            <w:vAlign w:val="center"/>
          </w:tcPr>
          <w:p>
            <w:pPr>
              <w:spacing w:after="0"/>
              <w:jc w:val="center"/>
              <w:rPr>
                <w:rFonts w:hint="default" w:ascii="宋体" w:hAnsi="宋体" w:cs="宋体"/>
                <w:b/>
                <w:bCs/>
                <w:szCs w:val="20"/>
                <w:lang w:val="en-US" w:eastAsia="zh-CN"/>
              </w:rPr>
            </w:pPr>
            <w:r>
              <w:rPr>
                <w:rFonts w:hint="eastAsia" w:ascii="宋体" w:hAnsi="宋体" w:cs="宋体"/>
                <w:b/>
                <w:bCs/>
                <w:szCs w:val="20"/>
                <w:lang w:val="en-US" w:eastAsia="zh-CN"/>
              </w:rPr>
              <w:t>6%增值税专用发票</w:t>
            </w: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服务期限</w:t>
            </w:r>
          </w:p>
        </w:tc>
        <w:tc>
          <w:tcPr>
            <w:tcW w:w="8789" w:type="dxa"/>
            <w:gridSpan w:val="6"/>
            <w:tcBorders>
              <w:top w:val="single" w:color="auto" w:sz="4" w:space="0"/>
              <w:left w:val="nil"/>
              <w:bottom w:val="single" w:color="auto" w:sz="4" w:space="0"/>
              <w:right w:val="single" w:color="auto" w:sz="4" w:space="0"/>
            </w:tcBorders>
            <w:vAlign w:val="center"/>
          </w:tcPr>
          <w:p>
            <w:pPr>
              <w:spacing w:after="0"/>
              <w:jc w:val="center"/>
              <w:rPr>
                <w:rFonts w:hint="default" w:ascii="宋体" w:hAnsi="宋体"/>
                <w:b/>
                <w:bCs/>
                <w:szCs w:val="20"/>
                <w:lang w:val="en-US" w:eastAsia="zh-CN"/>
              </w:rPr>
            </w:pPr>
            <w:r>
              <w:rPr>
                <w:rFonts w:hint="eastAsia" w:ascii="宋体" w:hAnsi="宋体"/>
                <w:b/>
                <w:bCs/>
                <w:szCs w:val="20"/>
                <w:lang w:val="en-US" w:eastAsia="zh-CN"/>
              </w:rPr>
              <w:t>根据附件报价单活动时间执行</w:t>
            </w:r>
          </w:p>
        </w:tc>
      </w:tr>
      <w:tr>
        <w:tblPrEx>
          <w:tblCellMar>
            <w:top w:w="0" w:type="dxa"/>
            <w:left w:w="108" w:type="dxa"/>
            <w:bottom w:w="0" w:type="dxa"/>
            <w:right w:w="108" w:type="dxa"/>
          </w:tblCellMar>
        </w:tblPrEx>
        <w:trPr>
          <w:trHeight w:val="379"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ind w:firstLine="201" w:firstLineChars="100"/>
              <w:rPr>
                <w:rFonts w:ascii="宋体" w:hAnsi="宋体" w:cs="宋体"/>
                <w:b/>
                <w:bCs/>
                <w:szCs w:val="20"/>
                <w:highlight w:val="none"/>
                <w:lang w:eastAsia="zh-CN"/>
              </w:rPr>
            </w:pPr>
            <w:r>
              <w:rPr>
                <w:rFonts w:hint="eastAsia" w:ascii="宋体" w:hAnsi="宋体" w:cs="宋体"/>
                <w:b/>
                <w:bCs/>
                <w:szCs w:val="20"/>
                <w:highlight w:val="none"/>
                <w:lang w:eastAsia="zh-CN"/>
              </w:rPr>
              <w:t>服务费</w:t>
            </w:r>
          </w:p>
        </w:tc>
        <w:tc>
          <w:tcPr>
            <w:tcW w:w="8789" w:type="dxa"/>
            <w:gridSpan w:val="6"/>
            <w:tcBorders>
              <w:top w:val="single" w:color="auto" w:sz="4" w:space="0"/>
              <w:left w:val="nil"/>
              <w:bottom w:val="single" w:color="auto" w:sz="4" w:space="0"/>
              <w:right w:val="single" w:color="auto" w:sz="4" w:space="0"/>
            </w:tcBorders>
            <w:vAlign w:val="center"/>
          </w:tcPr>
          <w:p>
            <w:pPr>
              <w:spacing w:after="0"/>
              <w:jc w:val="center"/>
              <w:rPr>
                <w:rFonts w:ascii="宋体" w:hAnsi="宋体"/>
                <w:b/>
                <w:bCs/>
                <w:szCs w:val="20"/>
                <w:highlight w:val="none"/>
                <w:lang w:eastAsia="zh-CN"/>
              </w:rPr>
            </w:pPr>
            <w:r>
              <w:rPr>
                <w:rFonts w:hint="eastAsia" w:ascii="宋体" w:hAnsi="宋体"/>
                <w:b/>
                <w:bCs/>
                <w:szCs w:val="20"/>
                <w:highlight w:val="none"/>
                <w:lang w:eastAsia="zh-CN"/>
              </w:rPr>
              <w:t>不高于6%</w:t>
            </w: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付款方式</w:t>
            </w:r>
          </w:p>
        </w:tc>
        <w:tc>
          <w:tcPr>
            <w:tcW w:w="8789" w:type="dxa"/>
            <w:gridSpan w:val="6"/>
            <w:tcBorders>
              <w:top w:val="single" w:color="auto" w:sz="4" w:space="0"/>
              <w:left w:val="nil"/>
              <w:bottom w:val="single" w:color="auto" w:sz="4" w:space="0"/>
              <w:right w:val="single" w:color="auto" w:sz="4" w:space="0"/>
            </w:tcBorders>
            <w:vAlign w:val="center"/>
          </w:tcPr>
          <w:p>
            <w:pPr>
              <w:spacing w:after="0"/>
              <w:jc w:val="center"/>
              <w:rPr>
                <w:rFonts w:ascii="宋体" w:hAnsi="宋体"/>
                <w:b/>
                <w:bCs/>
                <w:szCs w:val="20"/>
                <w:lang w:eastAsia="zh-CN"/>
              </w:rPr>
            </w:pPr>
            <w:r>
              <w:rPr>
                <w:rFonts w:hint="eastAsia" w:ascii="宋体" w:hAnsi="宋体"/>
                <w:b/>
                <w:bCs/>
                <w:szCs w:val="20"/>
                <w:lang w:eastAsia="zh-CN"/>
              </w:rPr>
              <w:t>甲乙双方确认《会务服务结算单》后乙方开具发票，甲方收到发票后支付，账期为45日</w:t>
            </w: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highlight w:val="none"/>
                <w:lang w:eastAsia="zh-CN"/>
              </w:rPr>
            </w:pPr>
            <w:r>
              <w:rPr>
                <w:rFonts w:hint="eastAsia" w:ascii="宋体" w:hAnsi="宋体" w:cs="宋体"/>
                <w:b/>
                <w:bCs/>
                <w:szCs w:val="20"/>
                <w:highlight w:val="none"/>
                <w:lang w:eastAsia="zh-CN"/>
              </w:rPr>
              <w:t>其他</w:t>
            </w:r>
          </w:p>
        </w:tc>
        <w:tc>
          <w:tcPr>
            <w:tcW w:w="8789" w:type="dxa"/>
            <w:gridSpan w:val="6"/>
            <w:tcBorders>
              <w:top w:val="single" w:color="auto" w:sz="4" w:space="0"/>
              <w:left w:val="nil"/>
              <w:bottom w:val="single" w:color="auto" w:sz="4" w:space="0"/>
              <w:right w:val="single" w:color="auto" w:sz="4" w:space="0"/>
            </w:tcBorders>
            <w:vAlign w:val="center"/>
          </w:tcPr>
          <w:p>
            <w:pPr>
              <w:pStyle w:val="7"/>
              <w:numPr>
                <w:ilvl w:val="0"/>
                <w:numId w:val="1"/>
              </w:numPr>
              <w:spacing w:after="0"/>
              <w:ind w:firstLineChars="0"/>
              <w:rPr>
                <w:rFonts w:ascii="宋体" w:hAnsi="宋体"/>
                <w:b/>
                <w:bCs/>
                <w:szCs w:val="20"/>
                <w:highlight w:val="none"/>
                <w:lang w:eastAsia="zh-CN"/>
              </w:rPr>
            </w:pPr>
            <w:r>
              <w:rPr>
                <w:rFonts w:hint="eastAsia" w:ascii="宋体" w:hAnsi="宋体"/>
                <w:b/>
                <w:bCs/>
                <w:szCs w:val="20"/>
                <w:highlight w:val="none"/>
                <w:lang w:eastAsia="zh-CN"/>
              </w:rPr>
              <w:t>本订单作为《会务服务定点合同》（以下简称“框架协议”）的一部分，与框架协议具有同等法律效力。除框架协议另有约定外，有关本订单项下的采购服务约定，以本订单为准。</w:t>
            </w:r>
          </w:p>
          <w:p>
            <w:pPr>
              <w:pStyle w:val="7"/>
              <w:numPr>
                <w:ilvl w:val="0"/>
                <w:numId w:val="1"/>
              </w:numPr>
              <w:spacing w:after="0"/>
              <w:ind w:firstLineChars="0"/>
              <w:rPr>
                <w:rFonts w:ascii="宋体" w:hAnsi="宋体"/>
                <w:b/>
                <w:bCs/>
                <w:szCs w:val="20"/>
                <w:highlight w:val="none"/>
                <w:lang w:eastAsia="zh-CN"/>
              </w:rPr>
            </w:pPr>
            <w:r>
              <w:rPr>
                <w:rFonts w:hint="eastAsia" w:ascii="宋体" w:hAnsi="宋体"/>
                <w:b/>
                <w:bCs/>
                <w:szCs w:val="20"/>
                <w:highlight w:val="none"/>
                <w:lang w:eastAsia="zh-CN"/>
              </w:rPr>
              <w:t>本订单自双方授权或指定的合同对接人通过各自公司指定邮件书面确认后生效。</w:t>
            </w: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备注</w:t>
            </w:r>
          </w:p>
        </w:tc>
        <w:tc>
          <w:tcPr>
            <w:tcW w:w="8789" w:type="dxa"/>
            <w:gridSpan w:val="6"/>
            <w:tcBorders>
              <w:top w:val="single" w:color="auto" w:sz="4" w:space="0"/>
              <w:left w:val="nil"/>
              <w:bottom w:val="single" w:color="auto" w:sz="4" w:space="0"/>
              <w:right w:val="single" w:color="auto" w:sz="4" w:space="0"/>
            </w:tcBorders>
            <w:vAlign w:val="center"/>
          </w:tcPr>
          <w:p>
            <w:pPr>
              <w:spacing w:after="0"/>
              <w:jc w:val="center"/>
              <w:rPr>
                <w:rFonts w:ascii="宋体" w:hAnsi="宋体"/>
                <w:b/>
                <w:bCs/>
                <w:szCs w:val="20"/>
                <w:lang w:eastAsia="zh-CN"/>
              </w:rPr>
            </w:pPr>
          </w:p>
        </w:tc>
      </w:tr>
    </w:tbl>
    <w:p/>
    <w:p/>
    <w:p/>
    <w:p/>
    <w:p/>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86476F"/>
    <w:multiLevelType w:val="multilevel"/>
    <w:tmpl w:val="3F86476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4Zjg0N2NlMjlhNWE0OWFlZGNmNDBmMjQ5MjE1ZjMifQ=="/>
  </w:docVars>
  <w:rsids>
    <w:rsidRoot w:val="1DAD3BCF"/>
    <w:rsid w:val="000804A3"/>
    <w:rsid w:val="00277E11"/>
    <w:rsid w:val="00A2714C"/>
    <w:rsid w:val="0F5612D6"/>
    <w:rsid w:val="0F60195E"/>
    <w:rsid w:val="1217444C"/>
    <w:rsid w:val="122C4353"/>
    <w:rsid w:val="14DC0C2A"/>
    <w:rsid w:val="1DAD3BCF"/>
    <w:rsid w:val="245B0337"/>
    <w:rsid w:val="24737DE2"/>
    <w:rsid w:val="3F9B71C1"/>
    <w:rsid w:val="45466709"/>
    <w:rsid w:val="45E018CF"/>
    <w:rsid w:val="51C42A44"/>
    <w:rsid w:val="59672DC3"/>
    <w:rsid w:val="599E3C88"/>
    <w:rsid w:val="63E43874"/>
    <w:rsid w:val="63F80834"/>
    <w:rsid w:val="74C44449"/>
    <w:rsid w:val="76C41134"/>
    <w:rsid w:val="7F577B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40"/>
    </w:pPr>
    <w:rPr>
      <w:rFonts w:ascii="Arial" w:hAnsi="Arial" w:eastAsia="宋体" w:cs="Times New Roman"/>
      <w:szCs w:val="24"/>
      <w:lang w:val="en-US" w:eastAsia="en-US"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style>
  <w:style w:type="paragraph" w:styleId="3">
    <w:name w:val="Balloon Text"/>
    <w:basedOn w:val="1"/>
    <w:link w:val="8"/>
    <w:qFormat/>
    <w:uiPriority w:val="0"/>
    <w:pPr>
      <w:spacing w:after="0"/>
    </w:pPr>
    <w:rPr>
      <w:sz w:val="18"/>
      <w:szCs w:val="18"/>
    </w:rPr>
  </w:style>
  <w:style w:type="character" w:styleId="6">
    <w:name w:val="annotation reference"/>
    <w:basedOn w:val="5"/>
    <w:qFormat/>
    <w:uiPriority w:val="0"/>
    <w:rPr>
      <w:sz w:val="21"/>
      <w:szCs w:val="21"/>
    </w:rPr>
  </w:style>
  <w:style w:type="paragraph" w:styleId="7">
    <w:name w:val="List Paragraph"/>
    <w:basedOn w:val="1"/>
    <w:qFormat/>
    <w:uiPriority w:val="99"/>
    <w:pPr>
      <w:ind w:firstLine="420" w:firstLineChars="200"/>
    </w:pPr>
  </w:style>
  <w:style w:type="character" w:customStyle="1" w:styleId="8">
    <w:name w:val="批注框文本 字符"/>
    <w:basedOn w:val="5"/>
    <w:link w:val="3"/>
    <w:qFormat/>
    <w:uiPriority w:val="0"/>
    <w:rPr>
      <w:rFonts w:ascii="Arial" w:hAnsi="Arial" w:eastAsia="宋体" w:cs="Times New Roman"/>
      <w:sz w:val="18"/>
      <w:szCs w:val="18"/>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326</Words>
  <Characters>353</Characters>
  <Lines>2</Lines>
  <Paragraphs>1</Paragraphs>
  <TotalTime>9</TotalTime>
  <ScaleCrop>false</ScaleCrop>
  <LinksUpToDate>false</LinksUpToDate>
  <CharactersWithSpaces>356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2023-03-06T06:40:00Z</dcterms:created>
  <dc:creator>许寰宇（供应链管理部）</dc:creator>
  <cp:lastModifiedBy>许寰宇（供应链管理部）</cp:lastModifiedBy>
  <dcterms:modified xsi:type="dcterms:W3CDTF">2023-11-17T10:36:18Z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9B2E2C572B2C415DB67384C8BDE30E60_13</vt:lpwstr>
  </property>
</Properties>
</file>