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</w:pPr>
      <w:r>
        <w:rPr>
          <w:rFonts w:hint="eastAsia" w:cstheme="minorBidi"/>
          <w:b/>
          <w:kern w:val="2"/>
          <w:sz w:val="28"/>
          <w:szCs w:val="28"/>
        </w:rPr>
        <w:t>第二部分  供应商须知</w:t>
      </w:r>
    </w:p>
    <w:p>
      <w:pPr>
        <w:jc w:val="center"/>
        <w:rPr>
          <w:b/>
          <w:bCs/>
        </w:rPr>
      </w:pPr>
      <w:bookmarkStart w:id="0" w:name="_Toc6966"/>
      <w:bookmarkStart w:id="1" w:name="_Toc65610971"/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前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附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表</w:t>
      </w:r>
      <w:bookmarkEnd w:id="0"/>
      <w:bookmarkEnd w:id="1"/>
    </w:p>
    <w:tbl>
      <w:tblPr>
        <w:tblStyle w:val="4"/>
        <w:tblW w:w="91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16"/>
        <w:gridCol w:w="6988"/>
      </w:tblGrid>
      <w:tr>
        <w:trPr>
          <w:trHeight w:val="744" w:hRule="exac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项号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  目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说明与要求</w:t>
            </w:r>
          </w:p>
        </w:tc>
      </w:tr>
      <w:tr>
        <w:trPr>
          <w:trHeight w:val="533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</w:pPr>
            <w:bookmarkStart w:id="2" w:name="_Hlk131410212"/>
            <w:r>
              <w:rPr>
                <w:rFonts w:hint="eastAsia"/>
              </w:rPr>
              <w:t>中英人寿保险有限公司个人营销渠道2022年度高峰会项目标包</w:t>
            </w:r>
            <w:r>
              <w:t>2</w:t>
            </w:r>
            <w:r>
              <w:rPr>
                <w:rFonts w:hint="eastAsia"/>
              </w:rPr>
              <w:t>-会务</w:t>
            </w:r>
            <w:bookmarkEnd w:id="2"/>
          </w:p>
        </w:tc>
      </w:tr>
      <w:tr>
        <w:trPr>
          <w:trHeight w:val="686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服务地点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甲方确认的为准</w:t>
            </w:r>
          </w:p>
        </w:tc>
      </w:tr>
      <w:tr>
        <w:trPr>
          <w:trHeight w:val="533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质量要求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合格</w:t>
            </w:r>
          </w:p>
        </w:tc>
      </w:tr>
      <w:tr>
        <w:trPr>
          <w:trHeight w:val="649" w:hRule="exac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项目概况</w:t>
            </w:r>
          </w:p>
        </w:tc>
        <w:tc>
          <w:tcPr>
            <w:tcW w:w="6988" w:type="dxa"/>
            <w:vAlign w:val="center"/>
          </w:tcPr>
          <w:p>
            <w:pPr>
              <w:pStyle w:val="2"/>
              <w:spacing w:line="360" w:lineRule="auto"/>
              <w:rPr>
                <w:color w:val="auto"/>
              </w:rPr>
            </w:pPr>
            <w:r>
              <w:rPr>
                <w:rFonts w:hint="eastAsia"/>
              </w:rPr>
              <w:t>详见谈判公告</w:t>
            </w:r>
          </w:p>
        </w:tc>
      </w:tr>
      <w:tr>
        <w:trPr>
          <w:trHeight w:val="736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</w:rPr>
              <w:t>服务期限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</w:rPr>
              <w:t>详见谈判公告</w:t>
            </w:r>
          </w:p>
        </w:tc>
      </w:tr>
      <w:tr>
        <w:trPr>
          <w:trHeight w:val="707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资金来源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</w:rPr>
              <w:t>自筹</w:t>
            </w:r>
          </w:p>
        </w:tc>
      </w:tr>
      <w:tr>
        <w:trPr>
          <w:trHeight w:val="641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供应商资格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详见谈判公告“3</w:t>
            </w:r>
            <w:r>
              <w:t>.</w:t>
            </w:r>
            <w:r>
              <w:rPr>
                <w:rFonts w:hint="eastAsia"/>
              </w:rPr>
              <w:t>申请人资格要求”</w:t>
            </w:r>
          </w:p>
        </w:tc>
      </w:tr>
      <w:tr>
        <w:trPr>
          <w:trHeight w:val="555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现场踏勘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本项目不组织踏勘现场</w:t>
            </w:r>
          </w:p>
        </w:tc>
      </w:tr>
      <w:tr>
        <w:trPr>
          <w:trHeight w:val="618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报价方式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固定总价</w:t>
            </w:r>
          </w:p>
        </w:tc>
      </w:tr>
      <w:tr>
        <w:trPr>
          <w:trHeight w:val="723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报价有效期</w:t>
            </w:r>
          </w:p>
        </w:tc>
        <w:tc>
          <w:tcPr>
            <w:tcW w:w="698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  <w:u w:val="single"/>
              </w:rPr>
              <w:t xml:space="preserve"> 自响应文件提交截止之日起90</w:t>
            </w:r>
            <w:r>
              <w:rPr>
                <w:rFonts w:hint="eastAsia"/>
                <w:bCs/>
              </w:rPr>
              <w:t>日历日</w:t>
            </w:r>
          </w:p>
        </w:tc>
      </w:tr>
      <w:tr>
        <w:trPr>
          <w:trHeight w:val="531" w:hRule="atLeast"/>
          <w:jc w:val="center"/>
        </w:trPr>
        <w:tc>
          <w:tcPr>
            <w:tcW w:w="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响应保证金</w:t>
            </w:r>
          </w:p>
        </w:tc>
        <w:tc>
          <w:tcPr>
            <w:tcW w:w="6988" w:type="dxa"/>
            <w:vAlign w:val="center"/>
          </w:tcPr>
          <w:p>
            <w:pPr>
              <w:spacing w:line="360" w:lineRule="auto"/>
              <w:rPr>
                <w:bCs/>
              </w:rPr>
            </w:pPr>
            <w:r>
              <w:rPr>
                <w:rFonts w:hint="eastAsia"/>
                <w:b/>
              </w:rPr>
              <w:t>响应保证金：</w:t>
            </w:r>
            <w:r>
              <w:rPr>
                <w:b/>
                <w:u w:val="single"/>
              </w:rPr>
              <w:t>20000</w:t>
            </w:r>
            <w:r>
              <w:rPr>
                <w:rFonts w:hint="eastAsia"/>
                <w:b/>
              </w:rPr>
              <w:t>元</w:t>
            </w:r>
            <w:r>
              <w:rPr>
                <w:rFonts w:hint="eastAsia"/>
                <w:bCs/>
              </w:rPr>
              <w:t>。</w:t>
            </w:r>
          </w:p>
          <w:p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开户银行及账号：</w:t>
            </w:r>
          </w:p>
          <w:p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户 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名：中国远东国际招标有限公司</w:t>
            </w:r>
          </w:p>
          <w:p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开户银行：中国建设银行股份有限公司北京玉泉支行</w:t>
            </w:r>
          </w:p>
          <w:p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 xml:space="preserve">帐 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号：6232810010000261182</w:t>
            </w:r>
          </w:p>
          <w:p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备注：响应保证金明须从供应商基本帐户转出。请供应商在汇款时务必注明谈判项目的项目编号，以便采购代理机构辨明款项。因款项标示用途不明导致谈判无效等后果由供应商自行承担。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75392"/>
    <w:rsid w:val="97F7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qFormat/>
    <w:uiPriority w:val="0"/>
    <w:pPr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2023-04-11T11:42:00Z</dcterms:created>
  <dc:creator>WPS_1512361481</dc:creator>
  <cp:lastModifiedBy>WPS_1512361481</cp:lastModifiedBy>
  <dcterms:modified xsi:type="dcterms:W3CDTF">2023-04-11T11:43:06Z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9B2E3057972CCD6F39D734645209B91A</vt:lpwstr>
  </property>
</Properties>
</file>