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40"/>
        </w:tabs>
        <w:spacing w:line="360" w:lineRule="auto"/>
        <w:jc w:val="center"/>
        <w:rPr>
          <w:rFonts w:eastAsia="仿宋_GB2312"/>
          <w:b/>
          <w:sz w:val="36"/>
          <w:szCs w:val="36"/>
        </w:rPr>
      </w:pPr>
      <w:r>
        <w:rPr>
          <w:rFonts w:hint="eastAsia" w:eastAsia="仿宋_GB2312"/>
          <w:b/>
          <w:sz w:val="36"/>
          <w:szCs w:val="36"/>
        </w:rPr>
        <w:t>会务委托合同</w:t>
      </w:r>
    </w:p>
    <w:p>
      <w:pPr>
        <w:spacing w:line="360" w:lineRule="auto"/>
        <w:rPr>
          <w:rFonts w:eastAsia="仿宋_GB2312"/>
          <w:sz w:val="24"/>
        </w:rPr>
      </w:pPr>
    </w:p>
    <w:p>
      <w:pPr>
        <w:spacing w:line="360" w:lineRule="auto"/>
        <w:rPr>
          <w:rFonts w:eastAsia="仿宋_GB2312"/>
          <w:sz w:val="24"/>
        </w:rPr>
      </w:pPr>
      <w:r>
        <w:rPr>
          <w:rFonts w:hint="eastAsia" w:eastAsia="仿宋_GB2312"/>
          <w:sz w:val="24"/>
        </w:rPr>
        <w:t>委托方：易方达基金管理有限公司（以下简称</w:t>
      </w:r>
      <w:r>
        <w:rPr>
          <w:rFonts w:eastAsia="仿宋_GB2312"/>
          <w:sz w:val="24"/>
        </w:rPr>
        <w:t>“</w:t>
      </w:r>
      <w:r>
        <w:rPr>
          <w:rFonts w:hint="eastAsia" w:eastAsia="仿宋_GB2312"/>
          <w:sz w:val="24"/>
        </w:rPr>
        <w:t>甲方</w:t>
      </w:r>
      <w:r>
        <w:rPr>
          <w:rFonts w:eastAsia="仿宋_GB2312"/>
          <w:sz w:val="24"/>
        </w:rPr>
        <w:t>”</w:t>
      </w:r>
      <w:r>
        <w:rPr>
          <w:rFonts w:hint="eastAsia" w:eastAsia="仿宋_GB2312"/>
          <w:sz w:val="24"/>
        </w:rPr>
        <w:t>）</w:t>
      </w:r>
    </w:p>
    <w:p>
      <w:pPr>
        <w:spacing w:line="360" w:lineRule="auto"/>
        <w:rPr>
          <w:rFonts w:eastAsia="仿宋_GB2312"/>
          <w:sz w:val="24"/>
        </w:rPr>
      </w:pPr>
      <w:r>
        <w:rPr>
          <w:rFonts w:hint="eastAsia" w:eastAsia="仿宋_GB2312"/>
          <w:sz w:val="24"/>
        </w:rPr>
        <w:t>法定代表人：刘晓艳</w:t>
      </w:r>
    </w:p>
    <w:p>
      <w:pPr>
        <w:spacing w:line="360" w:lineRule="auto"/>
        <w:rPr>
          <w:rFonts w:eastAsia="仿宋_GB2312"/>
          <w:sz w:val="24"/>
        </w:rPr>
      </w:pPr>
      <w:r>
        <w:rPr>
          <w:rFonts w:hint="eastAsia" w:eastAsia="仿宋_GB2312"/>
          <w:sz w:val="24"/>
        </w:rPr>
        <w:t>地址：广东省珠海市横琴新区宝中路</w:t>
      </w:r>
      <w:r>
        <w:rPr>
          <w:rFonts w:eastAsia="仿宋_GB2312"/>
          <w:sz w:val="24"/>
        </w:rPr>
        <w:t>3</w:t>
      </w:r>
      <w:r>
        <w:rPr>
          <w:rFonts w:hint="eastAsia" w:eastAsia="仿宋_GB2312"/>
          <w:sz w:val="24"/>
        </w:rPr>
        <w:t>号</w:t>
      </w:r>
      <w:r>
        <w:rPr>
          <w:rFonts w:eastAsia="仿宋_GB2312"/>
          <w:sz w:val="24"/>
        </w:rPr>
        <w:t>4004-8</w:t>
      </w:r>
      <w:r>
        <w:rPr>
          <w:rFonts w:hint="eastAsia" w:eastAsia="仿宋_GB2312"/>
          <w:sz w:val="24"/>
        </w:rPr>
        <w:t>室</w:t>
      </w:r>
    </w:p>
    <w:p>
      <w:pPr>
        <w:spacing w:line="360" w:lineRule="auto"/>
        <w:rPr>
          <w:rFonts w:eastAsia="仿宋_GB2312"/>
          <w:b/>
          <w:sz w:val="24"/>
        </w:rPr>
      </w:pPr>
    </w:p>
    <w:p>
      <w:pPr>
        <w:spacing w:line="360" w:lineRule="auto"/>
        <w:rPr>
          <w:rFonts w:ascii="仿宋" w:hAnsi="仿宋" w:eastAsia="仿宋"/>
          <w:sz w:val="24"/>
        </w:rPr>
      </w:pPr>
      <w:r>
        <w:rPr>
          <w:rFonts w:hint="eastAsia" w:ascii="仿宋" w:hAnsi="仿宋" w:eastAsia="仿宋"/>
          <w:sz w:val="24"/>
        </w:rPr>
        <w:t>受托方：康辉集团北京国际会议展览有限公司（以下简称</w:t>
      </w:r>
      <w:r>
        <w:rPr>
          <w:rFonts w:ascii="仿宋" w:hAnsi="仿宋" w:eastAsia="仿宋"/>
          <w:sz w:val="24"/>
        </w:rPr>
        <w:t>“</w:t>
      </w:r>
      <w:r>
        <w:rPr>
          <w:rFonts w:hint="eastAsia" w:ascii="仿宋" w:hAnsi="仿宋" w:eastAsia="仿宋"/>
          <w:sz w:val="24"/>
        </w:rPr>
        <w:t>乙方</w:t>
      </w:r>
      <w:r>
        <w:rPr>
          <w:rFonts w:ascii="仿宋" w:hAnsi="仿宋" w:eastAsia="仿宋"/>
          <w:sz w:val="24"/>
        </w:rPr>
        <w:t>”</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法定代表人：石保栋</w:t>
      </w:r>
    </w:p>
    <w:p>
      <w:pPr>
        <w:spacing w:line="360" w:lineRule="auto"/>
        <w:rPr>
          <w:rFonts w:ascii="仿宋" w:hAnsi="仿宋" w:eastAsia="仿宋"/>
          <w:sz w:val="24"/>
        </w:rPr>
      </w:pPr>
      <w:r>
        <w:rPr>
          <w:rFonts w:hint="eastAsia" w:ascii="仿宋" w:hAnsi="仿宋" w:eastAsia="仿宋"/>
          <w:sz w:val="24"/>
        </w:rPr>
        <w:t>地址：北京市朝阳区农展馆南路</w:t>
      </w:r>
      <w:r>
        <w:rPr>
          <w:rFonts w:ascii="仿宋" w:hAnsi="仿宋" w:eastAsia="仿宋"/>
          <w:sz w:val="24"/>
        </w:rPr>
        <w:t>13</w:t>
      </w:r>
      <w:r>
        <w:rPr>
          <w:rFonts w:hint="eastAsia" w:ascii="仿宋" w:hAnsi="仿宋" w:eastAsia="仿宋"/>
          <w:sz w:val="24"/>
        </w:rPr>
        <w:t>号</w:t>
      </w:r>
      <w:r>
        <w:rPr>
          <w:rFonts w:ascii="仿宋" w:hAnsi="仿宋" w:eastAsia="仿宋"/>
          <w:sz w:val="24"/>
        </w:rPr>
        <w:t>12</w:t>
      </w:r>
      <w:r>
        <w:rPr>
          <w:rFonts w:hint="eastAsia" w:ascii="仿宋" w:hAnsi="仿宋" w:eastAsia="仿宋"/>
          <w:sz w:val="24"/>
        </w:rPr>
        <w:t>层</w:t>
      </w:r>
      <w:r>
        <w:rPr>
          <w:rFonts w:ascii="仿宋" w:hAnsi="仿宋" w:eastAsia="仿宋"/>
          <w:sz w:val="24"/>
        </w:rPr>
        <w:t>1510</w:t>
      </w:r>
      <w:r>
        <w:rPr>
          <w:rFonts w:hint="eastAsia" w:ascii="仿宋" w:hAnsi="仿宋" w:eastAsia="仿宋"/>
          <w:sz w:val="24"/>
        </w:rPr>
        <w:t>内</w:t>
      </w:r>
      <w:r>
        <w:rPr>
          <w:rFonts w:ascii="仿宋" w:hAnsi="仿宋" w:eastAsia="仿宋"/>
          <w:sz w:val="24"/>
        </w:rPr>
        <w:t>002</w:t>
      </w:r>
    </w:p>
    <w:p>
      <w:pPr>
        <w:spacing w:line="360" w:lineRule="auto"/>
        <w:rPr>
          <w:rFonts w:eastAsia="仿宋_GB2312"/>
          <w:sz w:val="24"/>
        </w:rPr>
      </w:pPr>
    </w:p>
    <w:p>
      <w:pPr>
        <w:spacing w:line="360" w:lineRule="auto"/>
        <w:rPr>
          <w:rFonts w:eastAsia="仿宋_GB2312"/>
          <w:sz w:val="24"/>
        </w:rPr>
      </w:pPr>
      <w:r>
        <w:rPr>
          <w:rFonts w:hint="eastAsia" w:eastAsia="仿宋_GB2312"/>
          <w:sz w:val="24"/>
        </w:rPr>
        <w:t>鉴于：</w:t>
      </w:r>
    </w:p>
    <w:p>
      <w:pPr>
        <w:spacing w:line="360" w:lineRule="auto"/>
        <w:ind w:firstLine="480"/>
        <w:rPr>
          <w:rFonts w:eastAsia="仿宋_GB2312"/>
          <w:sz w:val="24"/>
        </w:rPr>
      </w:pPr>
      <w:r>
        <w:rPr>
          <w:rFonts w:hint="eastAsia" w:eastAsia="仿宋_GB2312"/>
          <w:sz w:val="24"/>
        </w:rPr>
        <w:t>甲方系一家按照中国法律设立合法存续的具有独立法人资格的基金管理公司，乙方系一家按照中国法律设立合法存续的具有独立法人资格的企业。因甲方经营需要，现委托乙方组织安排有关商务会议活动，乙方接受甲方的委托，经双方友好协商，订立本合同，以资共同遵守。</w:t>
      </w:r>
    </w:p>
    <w:p>
      <w:pPr>
        <w:spacing w:line="360" w:lineRule="auto"/>
        <w:ind w:firstLine="480" w:firstLineChars="200"/>
        <w:rPr>
          <w:rFonts w:ascii="宋体"/>
          <w:sz w:val="24"/>
        </w:rPr>
      </w:pPr>
    </w:p>
    <w:p>
      <w:pPr>
        <w:spacing w:line="360" w:lineRule="auto"/>
        <w:ind w:firstLine="480"/>
        <w:rPr>
          <w:rFonts w:eastAsia="仿宋_GB2312"/>
          <w:b/>
          <w:sz w:val="24"/>
        </w:rPr>
      </w:pPr>
      <w:r>
        <w:rPr>
          <w:rFonts w:hint="eastAsia" w:eastAsia="仿宋_GB2312"/>
          <w:b/>
          <w:sz w:val="24"/>
        </w:rPr>
        <w:t>一、委托事项</w:t>
      </w:r>
    </w:p>
    <w:p>
      <w:pPr>
        <w:spacing w:line="360" w:lineRule="auto"/>
        <w:ind w:firstLine="480"/>
        <w:rPr>
          <w:rFonts w:eastAsia="仿宋_GB2312"/>
          <w:sz w:val="24"/>
        </w:rPr>
      </w:pPr>
      <w:r>
        <w:rPr>
          <w:rFonts w:hint="eastAsia" w:eastAsia="仿宋_GB2312"/>
          <w:sz w:val="24"/>
        </w:rPr>
        <w:t>甲方委托乙方组织和安排会议，包括会议活动的日程及行程安排、与会人员的交通、食宿、接送及甲方要求的其他服务项目，具体日程安排及服务内容见附件一。</w:t>
      </w:r>
    </w:p>
    <w:p>
      <w:pPr>
        <w:spacing w:line="360" w:lineRule="auto"/>
        <w:ind w:firstLine="480"/>
        <w:rPr>
          <w:rFonts w:eastAsia="仿宋_GB2312"/>
          <w:sz w:val="24"/>
        </w:rPr>
      </w:pPr>
      <w:r>
        <w:rPr>
          <w:rFonts w:hint="eastAsia" w:eastAsia="仿宋_GB2312"/>
          <w:sz w:val="24"/>
        </w:rPr>
        <w:t>甲方对日程安排或服务内容有更改的，应提前通知乙方，经甲乙双方协商一致后予以变更。</w:t>
      </w:r>
    </w:p>
    <w:p>
      <w:pPr>
        <w:spacing w:line="360" w:lineRule="auto"/>
        <w:ind w:firstLine="480"/>
        <w:rPr>
          <w:rFonts w:eastAsia="仿宋_GB2312"/>
          <w:b/>
          <w:sz w:val="24"/>
        </w:rPr>
      </w:pPr>
      <w:r>
        <w:rPr>
          <w:rFonts w:hint="eastAsia" w:eastAsia="仿宋_GB2312"/>
          <w:b/>
          <w:sz w:val="24"/>
        </w:rPr>
        <w:t>二、费用和发票</w:t>
      </w:r>
    </w:p>
    <w:p>
      <w:pPr>
        <w:spacing w:line="360" w:lineRule="auto"/>
        <w:ind w:firstLine="480"/>
        <w:rPr>
          <w:rFonts w:eastAsia="仿宋_GB2312"/>
          <w:sz w:val="24"/>
        </w:rPr>
      </w:pPr>
      <w:r>
        <w:rPr>
          <w:rFonts w:eastAsia="仿宋_GB2312"/>
          <w:sz w:val="24"/>
        </w:rPr>
        <w:t>1</w:t>
      </w:r>
      <w:r>
        <w:rPr>
          <w:rFonts w:hint="eastAsia" w:eastAsia="仿宋_GB2312"/>
          <w:sz w:val="24"/>
        </w:rPr>
        <w:t>、本次会议预算为人民币</w:t>
      </w:r>
      <w:r>
        <w:rPr>
          <w:rFonts w:hint="eastAsia" w:eastAsia="仿宋_GB2312"/>
          <w:sz w:val="24"/>
          <w:u w:val="single"/>
        </w:rPr>
        <w:t>4</w:t>
      </w:r>
      <w:r>
        <w:rPr>
          <w:rFonts w:hint="eastAsia" w:eastAsia="仿宋_GB2312"/>
          <w:sz w:val="24"/>
          <w:u w:val="single"/>
          <w:lang w:val="en-US" w:eastAsia="zh-CN"/>
        </w:rPr>
        <w:t>2</w:t>
      </w:r>
      <w:r>
        <w:rPr>
          <w:rFonts w:hint="eastAsia" w:eastAsia="仿宋_GB2312"/>
          <w:sz w:val="24"/>
          <w:u w:val="single"/>
        </w:rPr>
        <w:t>000</w:t>
      </w:r>
      <w:r>
        <w:rPr>
          <w:rFonts w:hint="eastAsia" w:eastAsia="仿宋_GB2312"/>
          <w:sz w:val="24"/>
        </w:rPr>
        <w:t>元（见附件二）。此价款已包含了所有税费。乙方完全履行本合同约定义务后，向甲方提供本次会议的费用清单，甲方按实际发生费用向乙方支付会务费。</w:t>
      </w:r>
    </w:p>
    <w:p>
      <w:pPr>
        <w:spacing w:line="360" w:lineRule="auto"/>
        <w:ind w:firstLine="480"/>
        <w:rPr>
          <w:rFonts w:eastAsia="仿宋_GB2312"/>
          <w:sz w:val="24"/>
        </w:rPr>
      </w:pPr>
      <w:r>
        <w:rPr>
          <w:rFonts w:eastAsia="仿宋_GB2312"/>
          <w:sz w:val="24"/>
        </w:rPr>
        <w:t>2</w:t>
      </w:r>
      <w:r>
        <w:rPr>
          <w:rFonts w:hint="eastAsia" w:eastAsia="仿宋_GB2312"/>
          <w:sz w:val="24"/>
        </w:rPr>
        <w:t>、会务活动结束后，乙方按照实际发生费用的【差额部分】向甲方提供增值税抵扣凭证，使用增值税税率为</w:t>
      </w:r>
      <w:r>
        <w:rPr>
          <w:rFonts w:eastAsia="仿宋_GB2312"/>
          <w:sz w:val="24"/>
          <w:u w:val="single"/>
        </w:rPr>
        <w:t xml:space="preserve"> 6%</w:t>
      </w:r>
      <w:r>
        <w:rPr>
          <w:rFonts w:hint="eastAsia" w:eastAsia="仿宋_GB2312"/>
          <w:sz w:val="24"/>
        </w:rPr>
        <w:t>。差额部分，指本合同的全部价款，扣除向甲方收取并支付给其他单位或者个人的住宿费、餐饮费、交通费、签证费和支付给其他企业的费用后的余额。如国家税务部门调整发票的开具方式，以国家税务部门的最新要求为准。乙方承诺从合法途径（包括自行开具及申请由主管税务机关代开）向甲方提供形式和内容均为真实、准确、符合规定以及完整的对应金额的增值税抵扣凭证（包括但不限于增值税专用发票）。</w:t>
      </w:r>
    </w:p>
    <w:p>
      <w:pPr>
        <w:spacing w:line="360" w:lineRule="auto"/>
        <w:ind w:firstLine="480"/>
        <w:rPr>
          <w:rFonts w:eastAsia="仿宋_GB2312"/>
          <w:sz w:val="24"/>
        </w:rPr>
      </w:pPr>
      <w:r>
        <w:rPr>
          <w:rFonts w:hint="eastAsia" w:eastAsia="仿宋_GB2312"/>
          <w:sz w:val="24"/>
        </w:rPr>
        <w:t>乙方向甲方所提供的增值税抵扣凭证，应当依据甲方提供的如下信息开具：</w:t>
      </w:r>
    </w:p>
    <w:p>
      <w:pPr>
        <w:numPr>
          <w:ilvl w:val="0"/>
          <w:numId w:val="1"/>
        </w:numPr>
        <w:spacing w:line="360" w:lineRule="auto"/>
        <w:rPr>
          <w:rFonts w:eastAsia="仿宋_GB2312"/>
          <w:sz w:val="24"/>
        </w:rPr>
      </w:pPr>
      <w:r>
        <w:rPr>
          <w:rFonts w:hint="eastAsia" w:eastAsia="仿宋_GB2312"/>
          <w:sz w:val="24"/>
        </w:rPr>
        <w:t>纳税人名称：易方达基金管理有限公司</w:t>
      </w:r>
    </w:p>
    <w:p>
      <w:pPr>
        <w:numPr>
          <w:ilvl w:val="0"/>
          <w:numId w:val="1"/>
        </w:numPr>
        <w:spacing w:line="360" w:lineRule="auto"/>
        <w:rPr>
          <w:rFonts w:eastAsia="仿宋_GB2312"/>
          <w:sz w:val="24"/>
        </w:rPr>
      </w:pPr>
      <w:r>
        <w:rPr>
          <w:rFonts w:hint="eastAsia" w:eastAsia="仿宋_GB2312"/>
          <w:sz w:val="24"/>
        </w:rPr>
        <w:t>统一社会信用代码：</w:t>
      </w:r>
      <w:r>
        <w:rPr>
          <w:rFonts w:eastAsia="仿宋_GB2312"/>
          <w:sz w:val="24"/>
        </w:rPr>
        <w:t>91440000727878666D</w:t>
      </w:r>
    </w:p>
    <w:p>
      <w:pPr>
        <w:numPr>
          <w:ilvl w:val="0"/>
          <w:numId w:val="1"/>
        </w:numPr>
        <w:spacing w:line="360" w:lineRule="auto"/>
        <w:rPr>
          <w:rFonts w:eastAsia="仿宋_GB2312"/>
          <w:sz w:val="24"/>
        </w:rPr>
      </w:pPr>
      <w:r>
        <w:rPr>
          <w:rFonts w:hint="eastAsia" w:eastAsia="仿宋_GB2312"/>
          <w:sz w:val="24"/>
        </w:rPr>
        <w:t>注册地址</w:t>
      </w:r>
      <w:r>
        <w:rPr>
          <w:rFonts w:eastAsia="仿宋_GB2312"/>
          <w:sz w:val="24"/>
        </w:rPr>
        <w:t>:</w:t>
      </w:r>
      <w:r>
        <w:rPr>
          <w:rFonts w:hint="eastAsia" w:eastAsia="仿宋_GB2312"/>
          <w:sz w:val="24"/>
        </w:rPr>
        <w:t>广东省珠海市横琴新区宝中路</w:t>
      </w:r>
      <w:r>
        <w:rPr>
          <w:rFonts w:eastAsia="仿宋_GB2312"/>
          <w:sz w:val="24"/>
        </w:rPr>
        <w:t>3</w:t>
      </w:r>
      <w:r>
        <w:rPr>
          <w:rFonts w:hint="eastAsia" w:eastAsia="仿宋_GB2312"/>
          <w:sz w:val="24"/>
        </w:rPr>
        <w:t>号</w:t>
      </w:r>
      <w:r>
        <w:rPr>
          <w:rFonts w:eastAsia="仿宋_GB2312"/>
          <w:sz w:val="24"/>
        </w:rPr>
        <w:t>4004-8</w:t>
      </w:r>
      <w:r>
        <w:rPr>
          <w:rFonts w:hint="eastAsia" w:eastAsia="仿宋_GB2312"/>
          <w:sz w:val="24"/>
        </w:rPr>
        <w:t>室</w:t>
      </w:r>
    </w:p>
    <w:p>
      <w:pPr>
        <w:numPr>
          <w:ilvl w:val="0"/>
          <w:numId w:val="1"/>
        </w:numPr>
        <w:spacing w:line="360" w:lineRule="auto"/>
        <w:rPr>
          <w:rFonts w:eastAsia="仿宋_GB2312"/>
          <w:sz w:val="24"/>
        </w:rPr>
      </w:pPr>
      <w:r>
        <w:rPr>
          <w:rFonts w:hint="eastAsia" w:eastAsia="仿宋_GB2312"/>
          <w:sz w:val="24"/>
        </w:rPr>
        <w:t>电话：</w:t>
      </w:r>
      <w:r>
        <w:rPr>
          <w:rFonts w:eastAsia="仿宋_GB2312"/>
          <w:sz w:val="24"/>
        </w:rPr>
        <w:t>020-85102688</w:t>
      </w:r>
    </w:p>
    <w:p>
      <w:pPr>
        <w:numPr>
          <w:ilvl w:val="0"/>
          <w:numId w:val="1"/>
        </w:numPr>
        <w:spacing w:line="360" w:lineRule="auto"/>
        <w:rPr>
          <w:rFonts w:eastAsia="仿宋_GB2312"/>
          <w:sz w:val="24"/>
        </w:rPr>
      </w:pPr>
      <w:r>
        <w:rPr>
          <w:rFonts w:hint="eastAsia" w:eastAsia="仿宋_GB2312"/>
          <w:sz w:val="24"/>
        </w:rPr>
        <w:t>开户行</w:t>
      </w:r>
      <w:r>
        <w:rPr>
          <w:rFonts w:eastAsia="仿宋_GB2312"/>
          <w:sz w:val="24"/>
        </w:rPr>
        <w:t xml:space="preserve">: </w:t>
      </w:r>
      <w:r>
        <w:rPr>
          <w:rFonts w:hint="eastAsia" w:eastAsia="仿宋_GB2312"/>
          <w:sz w:val="24"/>
        </w:rPr>
        <w:t>工商银行广州市东城支行</w:t>
      </w:r>
    </w:p>
    <w:p>
      <w:pPr>
        <w:numPr>
          <w:ilvl w:val="0"/>
          <w:numId w:val="1"/>
        </w:numPr>
        <w:spacing w:line="360" w:lineRule="auto"/>
        <w:rPr>
          <w:rFonts w:eastAsia="仿宋_GB2312"/>
          <w:sz w:val="24"/>
        </w:rPr>
      </w:pPr>
      <w:r>
        <w:rPr>
          <w:rFonts w:hint="eastAsia" w:eastAsia="仿宋_GB2312"/>
          <w:sz w:val="24"/>
        </w:rPr>
        <w:t>银行帐号：</w:t>
      </w:r>
      <w:r>
        <w:rPr>
          <w:rFonts w:eastAsia="仿宋_GB2312"/>
          <w:sz w:val="24"/>
        </w:rPr>
        <w:t>3602031409200115901</w:t>
      </w:r>
    </w:p>
    <w:p>
      <w:pPr>
        <w:spacing w:line="360" w:lineRule="auto"/>
        <w:ind w:firstLine="480"/>
        <w:rPr>
          <w:rFonts w:ascii="仿宋" w:hAnsi="仿宋" w:eastAsia="仿宋"/>
          <w:sz w:val="24"/>
        </w:rPr>
      </w:pPr>
      <w:r>
        <w:rPr>
          <w:rFonts w:eastAsia="仿宋_GB2312"/>
          <w:sz w:val="24"/>
        </w:rPr>
        <w:t>3</w:t>
      </w:r>
      <w:r>
        <w:rPr>
          <w:rFonts w:hint="eastAsia" w:eastAsia="仿宋_GB2312"/>
          <w:sz w:val="24"/>
        </w:rPr>
        <w:t>、在乙方向甲方提交合法有效的增值税抵扣凭证并经甲方确认无误后，甲方在</w:t>
      </w:r>
      <w:r>
        <w:rPr>
          <w:rFonts w:eastAsia="仿宋_GB2312"/>
          <w:sz w:val="24"/>
        </w:rPr>
        <w:t>30</w:t>
      </w:r>
      <w:r>
        <w:rPr>
          <w:rFonts w:hint="eastAsia" w:eastAsia="仿宋_GB2312"/>
          <w:sz w:val="24"/>
        </w:rPr>
        <w:t>个工作日内支付该笔款项。甲方将款项支付至乙方指定的如下收款账户，视</w:t>
      </w:r>
      <w:r>
        <w:rPr>
          <w:rFonts w:hint="eastAsia" w:ascii="仿宋" w:hAnsi="仿宋" w:eastAsia="仿宋"/>
          <w:sz w:val="24"/>
        </w:rPr>
        <w:t>为已履行付款义务：</w:t>
      </w:r>
    </w:p>
    <w:p>
      <w:pPr>
        <w:spacing w:line="360" w:lineRule="auto"/>
        <w:ind w:firstLine="480"/>
        <w:rPr>
          <w:rFonts w:ascii="仿宋" w:hAnsi="仿宋" w:eastAsia="仿宋"/>
          <w:sz w:val="24"/>
        </w:rPr>
      </w:pPr>
      <w:r>
        <w:rPr>
          <w:rFonts w:hint="eastAsia" w:ascii="仿宋" w:hAnsi="仿宋" w:eastAsia="仿宋"/>
          <w:sz w:val="24"/>
        </w:rPr>
        <w:t>账户名：康辉集团北京国际会议展览有限公司</w:t>
      </w:r>
    </w:p>
    <w:p>
      <w:pPr>
        <w:spacing w:line="360" w:lineRule="auto"/>
        <w:ind w:firstLine="480"/>
        <w:rPr>
          <w:rFonts w:ascii="仿宋" w:hAnsi="仿宋" w:eastAsia="仿宋"/>
          <w:sz w:val="24"/>
        </w:rPr>
      </w:pPr>
      <w:r>
        <w:rPr>
          <w:rFonts w:hint="eastAsia" w:ascii="仿宋" w:hAnsi="仿宋" w:eastAsia="仿宋"/>
          <w:sz w:val="24"/>
        </w:rPr>
        <w:t>账号：</w:t>
      </w:r>
      <w:r>
        <w:rPr>
          <w:rFonts w:ascii="仿宋" w:hAnsi="仿宋" w:eastAsia="仿宋"/>
          <w:sz w:val="24"/>
        </w:rPr>
        <w:t>1100 6074 4018 0100 4979 6</w:t>
      </w:r>
    </w:p>
    <w:p>
      <w:pPr>
        <w:spacing w:line="360" w:lineRule="auto"/>
        <w:ind w:firstLine="480"/>
        <w:rPr>
          <w:rFonts w:ascii="仿宋" w:hAnsi="仿宋" w:eastAsia="仿宋"/>
          <w:sz w:val="24"/>
        </w:rPr>
      </w:pPr>
      <w:r>
        <w:rPr>
          <w:rFonts w:hint="eastAsia" w:ascii="仿宋" w:hAnsi="仿宋" w:eastAsia="仿宋"/>
          <w:sz w:val="24"/>
        </w:rPr>
        <w:t>开户行：交通银行北京团结湖支行</w:t>
      </w:r>
    </w:p>
    <w:p>
      <w:pPr>
        <w:spacing w:line="360" w:lineRule="auto"/>
        <w:ind w:firstLine="480"/>
        <w:rPr>
          <w:rFonts w:eastAsia="仿宋_GB2312"/>
          <w:sz w:val="24"/>
        </w:rPr>
      </w:pPr>
      <w:r>
        <w:rPr>
          <w:rFonts w:eastAsia="仿宋_GB2312"/>
          <w:sz w:val="24"/>
        </w:rPr>
        <w:t>4</w:t>
      </w:r>
      <w:r>
        <w:rPr>
          <w:rFonts w:hint="eastAsia" w:eastAsia="仿宋_GB2312"/>
          <w:sz w:val="24"/>
        </w:rPr>
        <w:t>、乙方应当在增值税抵扣凭证开具后</w:t>
      </w:r>
      <w:r>
        <w:rPr>
          <w:rFonts w:eastAsia="仿宋_GB2312"/>
          <w:sz w:val="24"/>
        </w:rPr>
        <w:t>10</w:t>
      </w:r>
      <w:r>
        <w:rPr>
          <w:rFonts w:hint="eastAsia" w:eastAsia="仿宋_GB2312"/>
          <w:sz w:val="24"/>
        </w:rPr>
        <w:t>个工作日之内通过快递方式送达至甲方。如在发票送达至甲方之前，发生增值税专用发票丢失、毁损等情况导致甲方无法取得有效抵扣联，乙方需及时采取必要解决措施以消除对甲方的影响，如为甲方重新提供增值税抵扣凭证且自行负担相应费用。</w:t>
      </w:r>
    </w:p>
    <w:p>
      <w:pPr>
        <w:spacing w:line="360" w:lineRule="auto"/>
        <w:ind w:firstLine="480"/>
        <w:rPr>
          <w:rFonts w:eastAsia="仿宋_GB2312"/>
          <w:sz w:val="24"/>
        </w:rPr>
      </w:pPr>
      <w:r>
        <w:rPr>
          <w:rFonts w:hint="eastAsia" w:eastAsia="仿宋_GB2312"/>
          <w:sz w:val="24"/>
        </w:rPr>
        <w:t>非因甲方原因导致甲方无法取得合法有效的增值税抵扣凭证的，甲方有权延迟支付款项，直至取得合乎上述要求的增值税抵扣凭证。甲方无需就此承担任何违约责任，且乙方仍应当按本合同约定履行各项义务。甲方支付款项后，如因乙方原因导致甲方不能抵扣进项税的，甲方有权要求乙方偿还该笔进项税额，或在应向乙方支付的款项中进行扣减。</w:t>
      </w:r>
    </w:p>
    <w:p>
      <w:pPr>
        <w:spacing w:line="360" w:lineRule="auto"/>
        <w:ind w:firstLine="480"/>
        <w:rPr>
          <w:rFonts w:eastAsia="仿宋_GB2312"/>
          <w:sz w:val="24"/>
        </w:rPr>
      </w:pPr>
      <w:r>
        <w:rPr>
          <w:rFonts w:hint="eastAsia" w:eastAsia="仿宋_GB2312"/>
          <w:sz w:val="24"/>
        </w:rPr>
        <w:t>因乙方原因导致甲方无法获得或及时获得增值税抵扣凭证，或无法抵扣增值税进项税额的，甲方有权要求乙方赔偿甲方由此遭受的相关损失。如乙方违反国家法律、法规以及政策等相关规定向甲方开具、提供增值税抵扣凭证，由乙方自行承担相应法律责任。如因此造成甲方经济损失的</w:t>
      </w:r>
      <w:r>
        <w:rPr>
          <w:rFonts w:eastAsia="仿宋_GB2312"/>
          <w:sz w:val="24"/>
        </w:rPr>
        <w:t>,</w:t>
      </w:r>
      <w:r>
        <w:rPr>
          <w:rFonts w:hint="eastAsia" w:eastAsia="仿宋_GB2312"/>
          <w:sz w:val="24"/>
        </w:rPr>
        <w:t>甲方有权要求乙方赔偿。</w:t>
      </w:r>
    </w:p>
    <w:p>
      <w:pPr>
        <w:spacing w:line="360" w:lineRule="auto"/>
        <w:ind w:firstLine="480"/>
        <w:rPr>
          <w:rFonts w:eastAsia="仿宋_GB2312"/>
          <w:b/>
          <w:sz w:val="24"/>
        </w:rPr>
      </w:pPr>
      <w:r>
        <w:rPr>
          <w:rFonts w:hint="eastAsia" w:eastAsia="仿宋_GB2312"/>
          <w:b/>
          <w:sz w:val="24"/>
        </w:rPr>
        <w:t>三、乙方的义务</w:t>
      </w:r>
    </w:p>
    <w:p>
      <w:pPr>
        <w:spacing w:line="360" w:lineRule="auto"/>
        <w:ind w:firstLine="480"/>
        <w:rPr>
          <w:rFonts w:eastAsia="仿宋_GB2312"/>
          <w:sz w:val="24"/>
        </w:rPr>
      </w:pPr>
      <w:r>
        <w:rPr>
          <w:rFonts w:eastAsia="仿宋_GB2312"/>
          <w:sz w:val="24"/>
        </w:rPr>
        <w:t>1</w:t>
      </w:r>
      <w:r>
        <w:rPr>
          <w:rFonts w:hint="eastAsia" w:eastAsia="仿宋_GB2312"/>
          <w:sz w:val="24"/>
        </w:rPr>
        <w:t>、乙方承诺与保证具备履行本合同所需资质，拥有提供本合同项下服务的人员及资源。</w:t>
      </w:r>
    </w:p>
    <w:p>
      <w:pPr>
        <w:spacing w:line="360" w:lineRule="auto"/>
        <w:ind w:firstLine="480"/>
        <w:rPr>
          <w:rFonts w:eastAsia="仿宋_GB2312"/>
          <w:sz w:val="24"/>
        </w:rPr>
      </w:pPr>
      <w:r>
        <w:rPr>
          <w:rFonts w:eastAsia="仿宋_GB2312"/>
          <w:sz w:val="24"/>
        </w:rPr>
        <w:t>2</w:t>
      </w:r>
      <w:r>
        <w:rPr>
          <w:rFonts w:hint="eastAsia" w:eastAsia="仿宋_GB2312"/>
          <w:sz w:val="24"/>
        </w:rPr>
        <w:t>、乙方应善意、诚信地履行本合同，全面完成甲方要求及本合同确定的事项、任务和标准，为甲方委托组织安排的活动提供优质的服务，确保活动安全、顺利进行，努力取得与会人员的满意。</w:t>
      </w:r>
    </w:p>
    <w:p>
      <w:pPr>
        <w:spacing w:line="360" w:lineRule="auto"/>
        <w:ind w:firstLine="480"/>
        <w:rPr>
          <w:rFonts w:eastAsia="仿宋_GB2312"/>
          <w:sz w:val="24"/>
        </w:rPr>
      </w:pPr>
      <w:r>
        <w:rPr>
          <w:rFonts w:eastAsia="仿宋_GB2312"/>
          <w:sz w:val="24"/>
        </w:rPr>
        <w:t>3</w:t>
      </w:r>
      <w:r>
        <w:rPr>
          <w:rFonts w:hint="eastAsia" w:eastAsia="仿宋_GB2312"/>
          <w:sz w:val="24"/>
        </w:rPr>
        <w:t>、乙方应保证为甲方提供服务的其他机构、人员具备相应的资质、资格，并在服务过程中保障甲方人员的人身、财产安全，采取合理措施防止可能发生的危害。</w:t>
      </w:r>
    </w:p>
    <w:p>
      <w:pPr>
        <w:spacing w:line="360" w:lineRule="auto"/>
        <w:ind w:firstLine="480"/>
        <w:rPr>
          <w:rFonts w:eastAsia="仿宋_GB2312"/>
          <w:sz w:val="24"/>
        </w:rPr>
      </w:pPr>
      <w:r>
        <w:rPr>
          <w:rFonts w:eastAsia="仿宋_GB2312"/>
          <w:sz w:val="24"/>
        </w:rPr>
        <w:t>4</w:t>
      </w:r>
      <w:r>
        <w:rPr>
          <w:rFonts w:hint="eastAsia" w:eastAsia="仿宋_GB2312"/>
          <w:sz w:val="24"/>
        </w:rPr>
        <w:t>、其他法律法规规定或本协议约定的义务。</w:t>
      </w:r>
    </w:p>
    <w:p>
      <w:pPr>
        <w:spacing w:line="360" w:lineRule="auto"/>
        <w:ind w:firstLine="480"/>
        <w:rPr>
          <w:rFonts w:eastAsia="仿宋_GB2312"/>
          <w:b/>
          <w:sz w:val="24"/>
        </w:rPr>
      </w:pPr>
      <w:r>
        <w:rPr>
          <w:rFonts w:hint="eastAsia" w:eastAsia="仿宋_GB2312"/>
          <w:b/>
          <w:sz w:val="24"/>
        </w:rPr>
        <w:t>四、甲方的义务</w:t>
      </w:r>
    </w:p>
    <w:p>
      <w:pPr>
        <w:spacing w:line="360" w:lineRule="auto"/>
        <w:ind w:firstLine="480"/>
        <w:rPr>
          <w:rFonts w:eastAsia="仿宋_GB2312"/>
          <w:sz w:val="24"/>
        </w:rPr>
      </w:pPr>
      <w:r>
        <w:rPr>
          <w:rFonts w:eastAsia="仿宋_GB2312"/>
          <w:sz w:val="24"/>
        </w:rPr>
        <w:t>1</w:t>
      </w:r>
      <w:r>
        <w:rPr>
          <w:rFonts w:hint="eastAsia" w:eastAsia="仿宋_GB2312"/>
          <w:sz w:val="24"/>
        </w:rPr>
        <w:t>、事先明确对活动安排的要求，及时审核乙方提交的安排方案，并为乙方组织安排本次商务活动提供必要的协助。</w:t>
      </w:r>
    </w:p>
    <w:p>
      <w:pPr>
        <w:spacing w:line="360" w:lineRule="auto"/>
        <w:ind w:firstLine="480"/>
        <w:rPr>
          <w:rFonts w:eastAsia="仿宋_GB2312"/>
          <w:sz w:val="24"/>
        </w:rPr>
      </w:pPr>
      <w:r>
        <w:rPr>
          <w:rFonts w:eastAsia="仿宋_GB2312"/>
          <w:sz w:val="24"/>
        </w:rPr>
        <w:t>2</w:t>
      </w:r>
      <w:r>
        <w:rPr>
          <w:rFonts w:hint="eastAsia" w:eastAsia="仿宋_GB2312"/>
          <w:sz w:val="24"/>
        </w:rPr>
        <w:t>、按照约定支付本合同费用。</w:t>
      </w:r>
    </w:p>
    <w:p>
      <w:pPr>
        <w:spacing w:line="360" w:lineRule="auto"/>
        <w:ind w:firstLine="480"/>
        <w:rPr>
          <w:rFonts w:eastAsia="仿宋_GB2312"/>
          <w:b/>
          <w:sz w:val="24"/>
        </w:rPr>
      </w:pPr>
      <w:r>
        <w:rPr>
          <w:rFonts w:hint="eastAsia" w:eastAsia="仿宋_GB2312"/>
          <w:b/>
          <w:sz w:val="24"/>
        </w:rPr>
        <w:t>五、转委托</w:t>
      </w:r>
    </w:p>
    <w:p>
      <w:pPr>
        <w:spacing w:line="360" w:lineRule="auto"/>
        <w:ind w:firstLine="480"/>
        <w:rPr>
          <w:rFonts w:eastAsia="仿宋_GB2312"/>
          <w:sz w:val="24"/>
        </w:rPr>
      </w:pPr>
      <w:r>
        <w:rPr>
          <w:rFonts w:hint="eastAsia" w:eastAsia="仿宋_GB2312"/>
          <w:sz w:val="24"/>
        </w:rPr>
        <w:t>乙方应亲自履行受托事项，如需将部分或全部转委托给第三方</w:t>
      </w:r>
      <w:r>
        <w:rPr>
          <w:rFonts w:eastAsia="仿宋_GB2312"/>
          <w:sz w:val="24"/>
        </w:rPr>
        <w:t xml:space="preserve">, </w:t>
      </w:r>
      <w:r>
        <w:rPr>
          <w:rFonts w:hint="eastAsia" w:eastAsia="仿宋_GB2312"/>
          <w:sz w:val="24"/>
        </w:rPr>
        <w:t>应事先征得甲方的书面同意</w:t>
      </w:r>
      <w:r>
        <w:rPr>
          <w:rFonts w:eastAsia="仿宋_GB2312"/>
          <w:sz w:val="24"/>
        </w:rPr>
        <w:t xml:space="preserve">, </w:t>
      </w:r>
      <w:r>
        <w:rPr>
          <w:rFonts w:hint="eastAsia" w:eastAsia="仿宋_GB2312"/>
          <w:sz w:val="24"/>
        </w:rPr>
        <w:t>且乙方应对第三方的行为向甲方承担连带责任。</w:t>
      </w:r>
    </w:p>
    <w:p>
      <w:pPr>
        <w:spacing w:line="360" w:lineRule="auto"/>
        <w:ind w:firstLine="480"/>
        <w:rPr>
          <w:rFonts w:eastAsia="仿宋_GB2312"/>
          <w:b/>
          <w:sz w:val="24"/>
        </w:rPr>
      </w:pPr>
      <w:r>
        <w:rPr>
          <w:rFonts w:hint="eastAsia" w:eastAsia="仿宋_GB2312"/>
          <w:b/>
          <w:sz w:val="24"/>
        </w:rPr>
        <w:t>六、反商业贿赂</w:t>
      </w:r>
    </w:p>
    <w:p>
      <w:pPr>
        <w:spacing w:line="360" w:lineRule="auto"/>
        <w:ind w:firstLine="480"/>
        <w:rPr>
          <w:rFonts w:eastAsia="仿宋_GB2312"/>
          <w:sz w:val="24"/>
        </w:rPr>
      </w:pPr>
      <w:r>
        <w:rPr>
          <w:rFonts w:eastAsia="仿宋_GB2312"/>
          <w:sz w:val="24"/>
        </w:rPr>
        <w:t>1</w:t>
      </w:r>
      <w:r>
        <w:rPr>
          <w:rFonts w:hint="eastAsia" w:eastAsia="仿宋_GB2312"/>
          <w:sz w:val="24"/>
        </w:rPr>
        <w:t>、本合同任何一方不得以金钱、实物或其他任何方式贿赂另一方的业务人员、高管人员及其他任何与本合同履行相关的工作人员；</w:t>
      </w:r>
    </w:p>
    <w:p>
      <w:pPr>
        <w:spacing w:line="360" w:lineRule="auto"/>
        <w:ind w:firstLine="480"/>
        <w:rPr>
          <w:rFonts w:eastAsia="仿宋_GB2312"/>
          <w:sz w:val="24"/>
        </w:rPr>
      </w:pPr>
      <w:r>
        <w:rPr>
          <w:rFonts w:eastAsia="仿宋_GB2312"/>
          <w:sz w:val="24"/>
        </w:rPr>
        <w:t>2</w:t>
      </w:r>
      <w:r>
        <w:rPr>
          <w:rFonts w:hint="eastAsia" w:eastAsia="仿宋_GB2312"/>
          <w:sz w:val="24"/>
        </w:rPr>
        <w:t>、任何一方发现另一方工作人员向己方行贿或索贿的，均应予以拒绝，并应立即通知另一方，并提供相关证据。</w:t>
      </w:r>
    </w:p>
    <w:p>
      <w:pPr>
        <w:spacing w:line="360" w:lineRule="auto"/>
        <w:ind w:firstLine="480"/>
        <w:rPr>
          <w:rFonts w:eastAsia="仿宋_GB2312"/>
          <w:b/>
          <w:sz w:val="24"/>
        </w:rPr>
      </w:pPr>
      <w:r>
        <w:rPr>
          <w:rFonts w:hint="eastAsia" w:eastAsia="仿宋_GB2312"/>
          <w:b/>
          <w:sz w:val="24"/>
        </w:rPr>
        <w:t>七、保密</w:t>
      </w:r>
    </w:p>
    <w:p>
      <w:pPr>
        <w:spacing w:line="360" w:lineRule="auto"/>
        <w:ind w:firstLine="480"/>
        <w:rPr>
          <w:rFonts w:eastAsia="仿宋_GB2312"/>
          <w:sz w:val="24"/>
        </w:rPr>
      </w:pPr>
      <w:r>
        <w:rPr>
          <w:rFonts w:eastAsia="仿宋_GB2312"/>
          <w:sz w:val="24"/>
        </w:rPr>
        <w:t>1</w:t>
      </w:r>
      <w:r>
        <w:rPr>
          <w:rFonts w:hint="eastAsia" w:eastAsia="仿宋_GB2312"/>
          <w:sz w:val="24"/>
        </w:rPr>
        <w:t>、本协议所指保密信息，系合同双方在接触、谈判、合作等任一阶段，乙方从甲方所知悉或获得的与合作有关或因合作而产生的任何的商业、营销、技术、运营数据或其他性质的信息和资料，包括但不限于甲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spacing w:line="360" w:lineRule="auto"/>
        <w:ind w:firstLine="480"/>
        <w:rPr>
          <w:rFonts w:eastAsia="仿宋_GB2312"/>
          <w:sz w:val="24"/>
        </w:rPr>
      </w:pPr>
      <w:r>
        <w:rPr>
          <w:rFonts w:hint="eastAsia" w:eastAsia="仿宋_GB2312"/>
          <w:sz w:val="24"/>
        </w:rPr>
        <w:t>前述保密信息不包括：</w:t>
      </w:r>
    </w:p>
    <w:p>
      <w:pPr>
        <w:spacing w:line="360" w:lineRule="auto"/>
        <w:ind w:firstLine="480"/>
        <w:rPr>
          <w:rFonts w:eastAsia="仿宋_GB2312"/>
          <w:sz w:val="24"/>
        </w:rPr>
      </w:pPr>
      <w:r>
        <w:rPr>
          <w:rFonts w:hint="eastAsia" w:eastAsia="仿宋_GB2312"/>
          <w:sz w:val="24"/>
        </w:rPr>
        <w:t>（</w:t>
      </w:r>
      <w:r>
        <w:rPr>
          <w:rFonts w:eastAsia="仿宋_GB2312"/>
          <w:sz w:val="24"/>
        </w:rPr>
        <w:t>1</w:t>
      </w:r>
      <w:r>
        <w:rPr>
          <w:rFonts w:hint="eastAsia" w:eastAsia="仿宋_GB2312"/>
          <w:sz w:val="24"/>
        </w:rPr>
        <w:t>）在不承担保密义务的情况下，乙方从甲方处接收之前就已知悉的；</w:t>
      </w:r>
    </w:p>
    <w:p>
      <w:pPr>
        <w:spacing w:line="360" w:lineRule="auto"/>
        <w:ind w:firstLine="480"/>
        <w:rPr>
          <w:rFonts w:eastAsia="仿宋_GB2312"/>
          <w:sz w:val="24"/>
        </w:rPr>
      </w:pPr>
      <w:r>
        <w:rPr>
          <w:rFonts w:hint="eastAsia" w:eastAsia="仿宋_GB2312"/>
          <w:sz w:val="24"/>
        </w:rPr>
        <w:t>（</w:t>
      </w:r>
      <w:r>
        <w:rPr>
          <w:rFonts w:eastAsia="仿宋_GB2312"/>
          <w:sz w:val="24"/>
        </w:rPr>
        <w:t>2</w:t>
      </w:r>
      <w:r>
        <w:rPr>
          <w:rFonts w:hint="eastAsia" w:eastAsia="仿宋_GB2312"/>
          <w:sz w:val="24"/>
        </w:rPr>
        <w:t>）非因任何一方的过错造成的为公众所知悉的；</w:t>
      </w:r>
    </w:p>
    <w:p>
      <w:pPr>
        <w:spacing w:line="360" w:lineRule="auto"/>
        <w:ind w:firstLine="480"/>
        <w:rPr>
          <w:rFonts w:eastAsia="仿宋_GB2312"/>
          <w:sz w:val="24"/>
        </w:rPr>
      </w:pPr>
      <w:r>
        <w:rPr>
          <w:rFonts w:hint="eastAsia" w:eastAsia="仿宋_GB2312"/>
          <w:sz w:val="24"/>
        </w:rPr>
        <w:t>（</w:t>
      </w:r>
      <w:r>
        <w:rPr>
          <w:rFonts w:eastAsia="仿宋_GB2312"/>
          <w:sz w:val="24"/>
        </w:rPr>
        <w:t>3</w:t>
      </w:r>
      <w:r>
        <w:rPr>
          <w:rFonts w:hint="eastAsia" w:eastAsia="仿宋_GB2312"/>
          <w:sz w:val="24"/>
        </w:rPr>
        <w:t>）在未接触保密信息的情况下，乙方独立开发取得的；</w:t>
      </w:r>
    </w:p>
    <w:p>
      <w:pPr>
        <w:spacing w:line="360" w:lineRule="auto"/>
        <w:ind w:firstLine="480"/>
        <w:rPr>
          <w:rFonts w:eastAsia="仿宋_GB2312"/>
          <w:sz w:val="24"/>
        </w:rPr>
      </w:pPr>
      <w:r>
        <w:rPr>
          <w:rFonts w:hint="eastAsia" w:eastAsia="仿宋_GB2312"/>
          <w:sz w:val="24"/>
        </w:rPr>
        <w:t>（</w:t>
      </w:r>
      <w:r>
        <w:rPr>
          <w:rFonts w:eastAsia="仿宋_GB2312"/>
          <w:sz w:val="24"/>
        </w:rPr>
        <w:t>4</w:t>
      </w:r>
      <w:r>
        <w:rPr>
          <w:rFonts w:hint="eastAsia" w:eastAsia="仿宋_GB2312"/>
          <w:sz w:val="24"/>
        </w:rPr>
        <w:t>）从无保密义务的第三方处正当取得，且以该取得方所应了解为限，该第三方不是违法的获得、披露、和使用该保密信息；</w:t>
      </w:r>
    </w:p>
    <w:p>
      <w:pPr>
        <w:spacing w:line="360" w:lineRule="auto"/>
        <w:ind w:firstLine="480"/>
        <w:rPr>
          <w:rFonts w:eastAsia="仿宋_GB2312"/>
          <w:sz w:val="24"/>
        </w:rPr>
      </w:pPr>
      <w:r>
        <w:rPr>
          <w:rFonts w:hint="eastAsia" w:eastAsia="仿宋_GB2312"/>
          <w:sz w:val="24"/>
        </w:rPr>
        <w:t>（</w:t>
      </w:r>
      <w:r>
        <w:rPr>
          <w:rFonts w:eastAsia="仿宋_GB2312"/>
          <w:sz w:val="24"/>
        </w:rPr>
        <w:t>5</w:t>
      </w:r>
      <w:r>
        <w:rPr>
          <w:rFonts w:hint="eastAsia" w:eastAsia="仿宋_GB2312"/>
          <w:sz w:val="24"/>
        </w:rPr>
        <w:t>）乙方事先征得甲方书面同意而发布的；</w:t>
      </w:r>
    </w:p>
    <w:p>
      <w:pPr>
        <w:spacing w:line="360" w:lineRule="auto"/>
        <w:ind w:firstLine="480"/>
        <w:rPr>
          <w:rFonts w:eastAsia="仿宋_GB2312"/>
          <w:sz w:val="24"/>
        </w:rPr>
      </w:pPr>
      <w:r>
        <w:rPr>
          <w:rFonts w:hint="eastAsia" w:eastAsia="仿宋_GB2312"/>
          <w:sz w:val="24"/>
        </w:rPr>
        <w:t>（</w:t>
      </w:r>
      <w:r>
        <w:rPr>
          <w:rFonts w:eastAsia="仿宋_GB2312"/>
          <w:sz w:val="24"/>
        </w:rPr>
        <w:t>6</w:t>
      </w:r>
      <w:r>
        <w:rPr>
          <w:rFonts w:hint="eastAsia" w:eastAsia="仿宋_GB2312"/>
          <w:sz w:val="24"/>
        </w:rPr>
        <w:t>）法律法规或有权机关强制要求公开。</w:t>
      </w:r>
    </w:p>
    <w:p>
      <w:pPr>
        <w:spacing w:line="360" w:lineRule="auto"/>
        <w:ind w:firstLine="480"/>
        <w:rPr>
          <w:rFonts w:eastAsia="仿宋_GB2312"/>
          <w:sz w:val="24"/>
        </w:rPr>
      </w:pPr>
      <w:r>
        <w:rPr>
          <w:rFonts w:eastAsia="仿宋_GB2312"/>
          <w:sz w:val="24"/>
        </w:rPr>
        <w:t>2</w:t>
      </w:r>
      <w:r>
        <w:rPr>
          <w:rFonts w:hint="eastAsia" w:eastAsia="仿宋_GB2312"/>
          <w:sz w:val="24"/>
        </w:rPr>
        <w:t>．保密措施</w:t>
      </w:r>
    </w:p>
    <w:p>
      <w:pPr>
        <w:spacing w:line="360" w:lineRule="auto"/>
        <w:ind w:firstLine="480"/>
        <w:rPr>
          <w:rFonts w:eastAsia="仿宋_GB2312"/>
          <w:sz w:val="24"/>
        </w:rPr>
      </w:pPr>
      <w:r>
        <w:rPr>
          <w:rFonts w:hint="eastAsia" w:eastAsia="仿宋_GB2312"/>
          <w:sz w:val="24"/>
        </w:rPr>
        <w:t>（</w:t>
      </w:r>
      <w:r>
        <w:rPr>
          <w:rFonts w:eastAsia="仿宋_GB2312"/>
          <w:sz w:val="24"/>
        </w:rPr>
        <w:t>1</w:t>
      </w:r>
      <w:r>
        <w:rPr>
          <w:rFonts w:hint="eastAsia" w:eastAsia="仿宋_GB2312"/>
          <w:sz w:val="24"/>
        </w:rPr>
        <w:t>）乙方保证对甲方所提供的保密信息予以妥善保管、保护及保密，并至少采取适用于对自己的保密信息同样的保密措施和审慎程度进行保密，且不得低于合理注意标准。未经甲方事先书面许可，乙方不得擅自披露、传播、使用。未经甲方书面同意，不得以任何方式宣传、使用甲方的名称、标识、商标或保密信息。</w:t>
      </w:r>
    </w:p>
    <w:p>
      <w:pPr>
        <w:spacing w:line="360" w:lineRule="auto"/>
        <w:ind w:firstLine="480"/>
        <w:rPr>
          <w:rFonts w:eastAsia="仿宋_GB2312"/>
          <w:sz w:val="24"/>
        </w:rPr>
      </w:pPr>
      <w:r>
        <w:rPr>
          <w:rFonts w:hint="eastAsia" w:eastAsia="仿宋_GB2312"/>
          <w:sz w:val="24"/>
        </w:rPr>
        <w:t>（</w:t>
      </w:r>
      <w:r>
        <w:rPr>
          <w:rFonts w:eastAsia="仿宋_GB2312"/>
          <w:sz w:val="24"/>
        </w:rPr>
        <w:t>2</w:t>
      </w:r>
      <w:r>
        <w:rPr>
          <w:rFonts w:hint="eastAsia" w:eastAsia="仿宋_GB2312"/>
          <w:sz w:val="24"/>
        </w:rPr>
        <w:t>）乙方保证保密信息仅为因履行本合同之目的所需的乙方雇员所知悉。在上述人员知悉该保密信息前，应向其提示保密信息的保密性和其应承担的义务，并保证上述人员以书面形式同意接受本合同条款约束，确保上述人员履行保密义务和承担保密责任的程度不低于本合同的约定。</w:t>
      </w:r>
    </w:p>
    <w:p>
      <w:pPr>
        <w:spacing w:line="360" w:lineRule="auto"/>
        <w:ind w:firstLine="480"/>
        <w:rPr>
          <w:rFonts w:eastAsia="仿宋_GB2312"/>
          <w:sz w:val="24"/>
        </w:rPr>
      </w:pPr>
      <w:r>
        <w:rPr>
          <w:rFonts w:hint="eastAsia" w:eastAsia="仿宋_GB2312"/>
          <w:sz w:val="24"/>
        </w:rPr>
        <w:t>（</w:t>
      </w:r>
      <w:r>
        <w:rPr>
          <w:rFonts w:eastAsia="仿宋_GB2312"/>
          <w:sz w:val="24"/>
        </w:rPr>
        <w:t>3</w:t>
      </w:r>
      <w:r>
        <w:rPr>
          <w:rFonts w:hint="eastAsia" w:eastAsia="仿宋_GB2312"/>
          <w:sz w:val="24"/>
        </w:rPr>
        <w:t>）如乙方根据法律法规的强制性要求，或有权机关要求披露保密信息时，应在第一时间通知甲方，以便甲方能以保密为抗辩理由或采取相关保护措施。</w:t>
      </w:r>
    </w:p>
    <w:p>
      <w:pPr>
        <w:spacing w:line="360" w:lineRule="auto"/>
        <w:ind w:firstLine="480"/>
        <w:rPr>
          <w:rFonts w:eastAsia="仿宋_GB2312"/>
          <w:b/>
          <w:sz w:val="24"/>
        </w:rPr>
      </w:pPr>
      <w:r>
        <w:rPr>
          <w:rFonts w:hint="eastAsia" w:eastAsia="仿宋_GB2312"/>
          <w:b/>
          <w:sz w:val="24"/>
        </w:rPr>
        <w:t>八、违约责任</w:t>
      </w:r>
    </w:p>
    <w:p>
      <w:pPr>
        <w:spacing w:line="360" w:lineRule="auto"/>
        <w:ind w:firstLine="480"/>
        <w:rPr>
          <w:rFonts w:eastAsia="仿宋_GB2312"/>
          <w:sz w:val="24"/>
        </w:rPr>
      </w:pPr>
      <w:r>
        <w:rPr>
          <w:rFonts w:eastAsia="仿宋_GB2312"/>
          <w:sz w:val="24"/>
        </w:rPr>
        <w:t>1</w:t>
      </w:r>
      <w:r>
        <w:rPr>
          <w:rFonts w:hint="eastAsia" w:eastAsia="仿宋_GB2312"/>
          <w:sz w:val="24"/>
        </w:rPr>
        <w:t>、本合同任何一方违反本合同约定，未履行或迟延履行本合同项下的任何一项职责</w:t>
      </w:r>
      <w:r>
        <w:rPr>
          <w:rFonts w:eastAsia="仿宋_GB2312"/>
          <w:sz w:val="24"/>
        </w:rPr>
        <w:t xml:space="preserve">, </w:t>
      </w:r>
      <w:r>
        <w:rPr>
          <w:rFonts w:hint="eastAsia" w:eastAsia="仿宋_GB2312"/>
          <w:sz w:val="24"/>
        </w:rPr>
        <w:t>即构成违约，守约方有权要求违约方在合理期限内补正或采取补救措施</w:t>
      </w:r>
      <w:r>
        <w:rPr>
          <w:rFonts w:eastAsia="仿宋_GB2312"/>
          <w:sz w:val="24"/>
        </w:rPr>
        <w:t xml:space="preserve">, </w:t>
      </w:r>
      <w:r>
        <w:rPr>
          <w:rFonts w:hint="eastAsia" w:eastAsia="仿宋_GB2312"/>
          <w:sz w:val="24"/>
        </w:rPr>
        <w:t>如违约方在合理期限内仍未补正或采取补救措施的</w:t>
      </w:r>
      <w:r>
        <w:rPr>
          <w:rFonts w:eastAsia="仿宋_GB2312"/>
          <w:sz w:val="24"/>
        </w:rPr>
        <w:t xml:space="preserve">, </w:t>
      </w:r>
      <w:r>
        <w:rPr>
          <w:rFonts w:hint="eastAsia" w:eastAsia="仿宋_GB2312"/>
          <w:sz w:val="24"/>
        </w:rPr>
        <w:t>除非本合同另有约定</w:t>
      </w:r>
      <w:r>
        <w:rPr>
          <w:rFonts w:eastAsia="仿宋_GB2312"/>
          <w:sz w:val="24"/>
        </w:rPr>
        <w:t xml:space="preserve">, </w:t>
      </w:r>
      <w:r>
        <w:rPr>
          <w:rFonts w:hint="eastAsia" w:eastAsia="仿宋_GB2312"/>
          <w:sz w:val="24"/>
        </w:rPr>
        <w:t>守约方有权解除本合同，并要求违约方赔偿损失。</w:t>
      </w:r>
    </w:p>
    <w:p>
      <w:pPr>
        <w:spacing w:line="360" w:lineRule="auto"/>
        <w:ind w:firstLine="480"/>
        <w:rPr>
          <w:rFonts w:eastAsia="仿宋_GB2312"/>
          <w:sz w:val="24"/>
        </w:rPr>
      </w:pPr>
      <w:r>
        <w:rPr>
          <w:rFonts w:eastAsia="仿宋_GB2312"/>
          <w:sz w:val="24"/>
        </w:rPr>
        <w:t>2</w:t>
      </w:r>
      <w:r>
        <w:rPr>
          <w:rFonts w:hint="eastAsia" w:eastAsia="仿宋_GB2312"/>
          <w:sz w:val="24"/>
        </w:rPr>
        <w:t>、乙方未履行委托事项、履行委托事项不符合本合同约定或迟延履行的，甲方有权单独或合并选择以下方式要求乙方承担违约责任：</w:t>
      </w:r>
    </w:p>
    <w:p>
      <w:pPr>
        <w:spacing w:line="360" w:lineRule="auto"/>
        <w:ind w:firstLine="480"/>
        <w:rPr>
          <w:rFonts w:eastAsia="仿宋_GB2312"/>
          <w:sz w:val="24"/>
        </w:rPr>
      </w:pPr>
      <w:r>
        <w:rPr>
          <w:rFonts w:hint="eastAsia" w:eastAsia="仿宋_GB2312"/>
          <w:sz w:val="24"/>
        </w:rPr>
        <w:t>（</w:t>
      </w:r>
      <w:r>
        <w:rPr>
          <w:rFonts w:eastAsia="仿宋_GB2312"/>
          <w:sz w:val="24"/>
        </w:rPr>
        <w:t>1</w:t>
      </w:r>
      <w:r>
        <w:rPr>
          <w:rFonts w:hint="eastAsia" w:eastAsia="仿宋_GB2312"/>
          <w:sz w:val="24"/>
        </w:rPr>
        <w:t>）甲方有权要求乙方在指定时间内采取补救措施，由此产生的全部费用由乙方承担。</w:t>
      </w:r>
    </w:p>
    <w:p>
      <w:pPr>
        <w:spacing w:line="360" w:lineRule="auto"/>
        <w:ind w:firstLine="480"/>
        <w:rPr>
          <w:rFonts w:eastAsia="仿宋_GB2312"/>
          <w:sz w:val="24"/>
        </w:rPr>
      </w:pPr>
      <w:r>
        <w:rPr>
          <w:rFonts w:hint="eastAsia" w:eastAsia="仿宋_GB2312"/>
          <w:sz w:val="24"/>
        </w:rPr>
        <w:t>（</w:t>
      </w:r>
      <w:r>
        <w:rPr>
          <w:rFonts w:eastAsia="仿宋_GB2312"/>
          <w:sz w:val="24"/>
        </w:rPr>
        <w:t>2</w:t>
      </w:r>
      <w:r>
        <w:rPr>
          <w:rFonts w:hint="eastAsia" w:eastAsia="仿宋_GB2312"/>
          <w:sz w:val="24"/>
        </w:rPr>
        <w:t>）甲方有权要求乙方承担由此造成的全部损失；</w:t>
      </w:r>
    </w:p>
    <w:p>
      <w:pPr>
        <w:spacing w:line="360" w:lineRule="auto"/>
        <w:ind w:firstLine="480"/>
        <w:rPr>
          <w:rFonts w:eastAsia="仿宋_GB2312"/>
          <w:sz w:val="24"/>
        </w:rPr>
      </w:pPr>
      <w:r>
        <w:rPr>
          <w:rFonts w:hint="eastAsia" w:eastAsia="仿宋_GB2312"/>
          <w:sz w:val="24"/>
        </w:rPr>
        <w:t>（</w:t>
      </w:r>
      <w:r>
        <w:rPr>
          <w:rFonts w:eastAsia="仿宋_GB2312"/>
          <w:sz w:val="24"/>
        </w:rPr>
        <w:t>3</w:t>
      </w:r>
      <w:r>
        <w:rPr>
          <w:rFonts w:hint="eastAsia" w:eastAsia="仿宋_GB2312"/>
          <w:sz w:val="24"/>
        </w:rPr>
        <w:t>）甲方有权解除本合同，乙方应当退还已收取的费用（如有），并向甲方支付合同总金额</w:t>
      </w:r>
      <w:r>
        <w:rPr>
          <w:rFonts w:eastAsia="仿宋_GB2312"/>
          <w:sz w:val="24"/>
          <w:u w:val="single"/>
        </w:rPr>
        <w:t>50%</w:t>
      </w:r>
      <w:r>
        <w:rPr>
          <w:rFonts w:hint="eastAsia" w:eastAsia="仿宋_GB2312"/>
          <w:sz w:val="24"/>
        </w:rPr>
        <w:t>的违约金，违约金不足以赔偿甲方损失的，乙方还应当赔偿损失与违约金的差额部分。</w:t>
      </w:r>
    </w:p>
    <w:p>
      <w:pPr>
        <w:spacing w:line="360" w:lineRule="auto"/>
        <w:ind w:firstLine="480"/>
        <w:rPr>
          <w:rFonts w:eastAsia="仿宋_GB2312"/>
          <w:sz w:val="24"/>
        </w:rPr>
      </w:pPr>
      <w:r>
        <w:rPr>
          <w:rFonts w:eastAsia="仿宋_GB2312"/>
          <w:sz w:val="24"/>
        </w:rPr>
        <w:t>3</w:t>
      </w:r>
      <w:r>
        <w:rPr>
          <w:rFonts w:hint="eastAsia" w:eastAsia="仿宋_GB2312"/>
          <w:sz w:val="24"/>
        </w:rPr>
        <w:t>、未经甲方书面同意，乙方将本合同项下委托事项全部或部分转委托给第三方的，或违反本合同第六条反商业贿赂条款、第七条保密条款的，甲方有权解除合同，乙方应退还已收取的费用，并向甲方支付相当于合同总金额等额的违约金，违约金不足以赔偿甲方损失的，乙方还应当赔偿损失与违约金的差额部分。</w:t>
      </w:r>
    </w:p>
    <w:p>
      <w:pPr>
        <w:spacing w:line="360" w:lineRule="auto"/>
        <w:ind w:firstLine="480"/>
        <w:rPr>
          <w:rFonts w:eastAsia="仿宋_GB2312"/>
          <w:sz w:val="24"/>
        </w:rPr>
      </w:pPr>
      <w:r>
        <w:rPr>
          <w:rFonts w:eastAsia="仿宋_GB2312"/>
          <w:sz w:val="24"/>
        </w:rPr>
        <w:t>4</w:t>
      </w:r>
      <w:r>
        <w:rPr>
          <w:rFonts w:hint="eastAsia" w:eastAsia="仿宋_GB2312"/>
          <w:sz w:val="24"/>
        </w:rPr>
        <w:t>、除法律另有规定外，本条各单项约定的违约责任不影响且不包括本条其他各项以及本合同其他条款约定的应承担的支付或赔偿责任。</w:t>
      </w:r>
    </w:p>
    <w:p>
      <w:pPr>
        <w:spacing w:line="360" w:lineRule="auto"/>
        <w:ind w:firstLine="480"/>
        <w:rPr>
          <w:rFonts w:eastAsia="仿宋_GB2312"/>
          <w:b/>
          <w:sz w:val="24"/>
        </w:rPr>
      </w:pPr>
      <w:r>
        <w:rPr>
          <w:rFonts w:hint="eastAsia" w:eastAsia="仿宋_GB2312"/>
          <w:b/>
          <w:sz w:val="24"/>
        </w:rPr>
        <w:t>九、争议解决</w:t>
      </w:r>
    </w:p>
    <w:p>
      <w:pPr>
        <w:spacing w:line="360" w:lineRule="auto"/>
        <w:ind w:firstLine="480"/>
        <w:rPr>
          <w:rFonts w:eastAsia="仿宋_GB2312"/>
          <w:sz w:val="24"/>
        </w:rPr>
      </w:pPr>
      <w:r>
        <w:rPr>
          <w:rFonts w:hint="eastAsia" w:eastAsia="仿宋_GB2312"/>
          <w:sz w:val="24"/>
        </w:rPr>
        <w:t>因履行本协议所发生的一切争议双方应协商解决，协商不成的，提交中国广州仲裁委员会仲裁。</w:t>
      </w:r>
    </w:p>
    <w:p>
      <w:pPr>
        <w:spacing w:line="360" w:lineRule="auto"/>
        <w:ind w:firstLine="480"/>
        <w:rPr>
          <w:rFonts w:eastAsia="仿宋_GB2312"/>
          <w:b/>
          <w:sz w:val="24"/>
        </w:rPr>
      </w:pPr>
      <w:r>
        <w:rPr>
          <w:rFonts w:hint="eastAsia" w:eastAsia="仿宋_GB2312"/>
          <w:b/>
          <w:sz w:val="24"/>
        </w:rPr>
        <w:t>十、其他约定</w:t>
      </w:r>
    </w:p>
    <w:p>
      <w:pPr>
        <w:spacing w:line="360" w:lineRule="auto"/>
        <w:ind w:firstLine="480"/>
        <w:rPr>
          <w:rFonts w:eastAsia="仿宋_GB2312"/>
          <w:sz w:val="24"/>
        </w:rPr>
      </w:pPr>
      <w:r>
        <w:rPr>
          <w:rFonts w:eastAsia="仿宋_GB2312"/>
          <w:sz w:val="24"/>
        </w:rPr>
        <w:t>1</w:t>
      </w:r>
      <w:r>
        <w:rPr>
          <w:rFonts w:hint="eastAsia" w:eastAsia="仿宋_GB2312"/>
          <w:sz w:val="24"/>
        </w:rPr>
        <w:t>、本合同有效期自本合同生效之日起至本合同约定事项履行完毕之日止。</w:t>
      </w:r>
    </w:p>
    <w:p>
      <w:pPr>
        <w:spacing w:line="360" w:lineRule="auto"/>
        <w:ind w:firstLine="480"/>
        <w:rPr>
          <w:rFonts w:eastAsia="仿宋_GB2312"/>
          <w:sz w:val="24"/>
        </w:rPr>
      </w:pPr>
      <w:r>
        <w:rPr>
          <w:rFonts w:eastAsia="仿宋_GB2312"/>
          <w:sz w:val="24"/>
        </w:rPr>
        <w:t>2</w:t>
      </w:r>
      <w:r>
        <w:rPr>
          <w:rFonts w:hint="eastAsia" w:eastAsia="仿宋_GB2312"/>
          <w:sz w:val="24"/>
        </w:rPr>
        <w:t>、甲乙双方可以就本协议的执行签订补充协议或其他形式的文件，该补充协议或其他形式的文件构成本协议不可分割的部分，双方应当履行。</w:t>
      </w:r>
    </w:p>
    <w:p>
      <w:pPr>
        <w:spacing w:line="360" w:lineRule="auto"/>
        <w:ind w:firstLine="480"/>
        <w:rPr>
          <w:rFonts w:eastAsia="仿宋_GB2312"/>
          <w:sz w:val="24"/>
        </w:rPr>
      </w:pPr>
      <w:r>
        <w:rPr>
          <w:rFonts w:eastAsia="仿宋_GB2312"/>
          <w:sz w:val="24"/>
        </w:rPr>
        <w:t>3</w:t>
      </w:r>
      <w:r>
        <w:rPr>
          <w:rFonts w:hint="eastAsia" w:eastAsia="仿宋_GB2312"/>
          <w:sz w:val="24"/>
        </w:rPr>
        <w:t>、本合同附件与本合同正文具有同等法律效力，附件内容与正文不一致的，以正文为准。</w:t>
      </w:r>
    </w:p>
    <w:p>
      <w:pPr>
        <w:spacing w:line="360" w:lineRule="auto"/>
        <w:ind w:firstLine="480"/>
        <w:rPr>
          <w:rFonts w:eastAsia="仿宋_GB2312"/>
          <w:sz w:val="24"/>
        </w:rPr>
      </w:pPr>
      <w:r>
        <w:rPr>
          <w:rFonts w:eastAsia="仿宋_GB2312"/>
          <w:sz w:val="24"/>
        </w:rPr>
        <w:t>4</w:t>
      </w:r>
      <w:r>
        <w:rPr>
          <w:rFonts w:hint="eastAsia" w:eastAsia="仿宋_GB2312"/>
          <w:sz w:val="24"/>
        </w:rPr>
        <w:t>、本合同一式贰份，甲方执壹份，乙方执壹份。</w:t>
      </w:r>
    </w:p>
    <w:p>
      <w:pPr>
        <w:spacing w:line="360" w:lineRule="auto"/>
        <w:ind w:firstLine="570"/>
        <w:rPr>
          <w:rFonts w:eastAsia="仿宋_GB2312"/>
          <w:sz w:val="24"/>
        </w:rPr>
      </w:pPr>
    </w:p>
    <w:p>
      <w:pPr>
        <w:spacing w:line="360" w:lineRule="auto"/>
        <w:ind w:firstLine="570"/>
        <w:rPr>
          <w:rFonts w:eastAsia="仿宋_GB2312"/>
          <w:sz w:val="24"/>
        </w:rPr>
      </w:pPr>
      <w:r>
        <w:rPr>
          <w:rFonts w:hint="eastAsia" w:eastAsia="仿宋_GB2312"/>
          <w:sz w:val="24"/>
        </w:rPr>
        <w:t>附件一：会议日程安排</w:t>
      </w:r>
    </w:p>
    <w:p>
      <w:pPr>
        <w:spacing w:line="360" w:lineRule="auto"/>
        <w:ind w:firstLine="570"/>
        <w:rPr>
          <w:rFonts w:eastAsia="仿宋_GB2312"/>
          <w:sz w:val="24"/>
        </w:rPr>
      </w:pPr>
      <w:r>
        <w:rPr>
          <w:rFonts w:hint="eastAsia" w:eastAsia="仿宋_GB2312"/>
          <w:sz w:val="24"/>
        </w:rPr>
        <w:t>附件二：费用预算</w:t>
      </w:r>
    </w:p>
    <w:p>
      <w:pPr>
        <w:spacing w:line="360" w:lineRule="auto"/>
        <w:ind w:firstLine="480"/>
        <w:rPr>
          <w:rFonts w:eastAsia="仿宋_GB2312"/>
          <w:sz w:val="24"/>
        </w:rPr>
      </w:pPr>
    </w:p>
    <w:p>
      <w:pPr>
        <w:widowControl/>
        <w:jc w:val="left"/>
        <w:rPr>
          <w:rFonts w:eastAsia="仿宋_GB2312"/>
          <w:sz w:val="24"/>
        </w:rPr>
      </w:pPr>
      <w:r>
        <w:rPr>
          <w:rFonts w:eastAsia="仿宋_GB2312"/>
          <w:sz w:val="24"/>
        </w:rPr>
        <w:br w:type="page"/>
      </w:r>
    </w:p>
    <w:p>
      <w:pPr>
        <w:spacing w:line="360" w:lineRule="auto"/>
        <w:rPr>
          <w:rFonts w:eastAsia="仿宋_GB2312"/>
          <w:sz w:val="24"/>
        </w:rPr>
      </w:pPr>
      <w:r>
        <w:rPr>
          <w:rFonts w:hint="eastAsia" w:eastAsia="仿宋_GB2312"/>
          <w:sz w:val="24"/>
        </w:rPr>
        <w:t>（本页无正文，为易方达基金管理有限公司与</w:t>
      </w:r>
      <w:r>
        <w:rPr>
          <w:rFonts w:hint="eastAsia" w:ascii="仿宋" w:hAnsi="仿宋" w:eastAsia="仿宋"/>
          <w:sz w:val="24"/>
        </w:rPr>
        <w:t>康辉集团北京国际会议展览有限公司</w:t>
      </w:r>
      <w:r>
        <w:rPr>
          <w:rFonts w:hint="eastAsia" w:eastAsia="仿宋_GB2312"/>
          <w:sz w:val="24"/>
        </w:rPr>
        <w:t>签署的《会务委托合同》签署页）</w:t>
      </w:r>
    </w:p>
    <w:p>
      <w:pPr>
        <w:spacing w:line="360" w:lineRule="auto"/>
        <w:ind w:firstLine="480"/>
        <w:rPr>
          <w:rFonts w:eastAsia="仿宋_GB2312"/>
          <w:sz w:val="24"/>
        </w:rPr>
      </w:pPr>
    </w:p>
    <w:p>
      <w:pPr>
        <w:spacing w:line="360" w:lineRule="auto"/>
        <w:ind w:firstLine="480"/>
        <w:rPr>
          <w:rFonts w:eastAsia="仿宋_GB2312"/>
          <w:sz w:val="24"/>
        </w:rPr>
      </w:pPr>
    </w:p>
    <w:p>
      <w:pPr>
        <w:ind w:left="4920" w:hanging="4920" w:hangingChars="2050"/>
        <w:rPr>
          <w:rFonts w:ascii="仿宋" w:hAnsi="仿宋" w:eastAsia="仿宋"/>
          <w:sz w:val="24"/>
        </w:rPr>
      </w:pPr>
      <w:r>
        <w:rPr>
          <w:rFonts w:hint="eastAsia" w:eastAsia="仿宋_GB2312"/>
          <w:sz w:val="24"/>
        </w:rPr>
        <w:t>甲方：易方达基金管理有限公司</w:t>
      </w:r>
      <w:r>
        <w:rPr>
          <w:rFonts w:hint="eastAsia" w:eastAsia="仿宋_GB2312"/>
          <w:sz w:val="24"/>
          <w:lang w:val="en-US" w:eastAsia="zh-CN"/>
        </w:rPr>
        <w:t xml:space="preserve">            </w:t>
      </w:r>
      <w:r>
        <w:rPr>
          <w:rFonts w:hint="eastAsia" w:ascii="仿宋" w:hAnsi="仿宋" w:eastAsia="仿宋"/>
          <w:sz w:val="24"/>
        </w:rPr>
        <w:t>乙方：康辉集团北京国际会议展览有限公司</w:t>
      </w:r>
    </w:p>
    <w:p>
      <w:pPr>
        <w:spacing w:line="360" w:lineRule="auto"/>
        <w:rPr>
          <w:rFonts w:ascii="仿宋" w:hAnsi="仿宋" w:eastAsia="仿宋"/>
          <w:sz w:val="24"/>
        </w:rPr>
      </w:pPr>
    </w:p>
    <w:p>
      <w:pPr>
        <w:spacing w:line="360" w:lineRule="auto"/>
        <w:ind w:firstLine="480"/>
        <w:rPr>
          <w:rFonts w:eastAsia="仿宋_GB2312"/>
          <w:sz w:val="24"/>
        </w:rPr>
      </w:pPr>
    </w:p>
    <w:p>
      <w:pPr>
        <w:spacing w:line="360" w:lineRule="auto"/>
        <w:rPr>
          <w:rFonts w:eastAsia="仿宋_GB2312"/>
          <w:sz w:val="24"/>
        </w:rPr>
      </w:pPr>
      <w:r>
        <w:rPr>
          <w:rFonts w:hint="eastAsia" w:eastAsia="仿宋_GB2312"/>
          <w:sz w:val="24"/>
        </w:rPr>
        <w:t>法定代表人（或授权代表）：</w:t>
      </w:r>
      <w:r>
        <w:rPr>
          <w:rFonts w:hint="eastAsia" w:eastAsia="仿宋_GB2312"/>
          <w:sz w:val="24"/>
          <w:lang w:val="en-US" w:eastAsia="zh-CN"/>
        </w:rPr>
        <w:t xml:space="preserve">              </w:t>
      </w:r>
      <w:r>
        <w:rPr>
          <w:rFonts w:hint="eastAsia" w:eastAsia="仿宋_GB2312"/>
          <w:sz w:val="24"/>
        </w:rPr>
        <w:t>法定代表人（或授权代表）：</w:t>
      </w:r>
    </w:p>
    <w:p>
      <w:pPr>
        <w:spacing w:line="360" w:lineRule="auto"/>
        <w:ind w:firstLine="480"/>
        <w:rPr>
          <w:rFonts w:eastAsia="仿宋_GB2312"/>
          <w:sz w:val="24"/>
        </w:rPr>
      </w:pPr>
    </w:p>
    <w:p>
      <w:pPr>
        <w:spacing w:line="360" w:lineRule="auto"/>
        <w:rPr>
          <w:rFonts w:eastAsia="仿宋_GB2312"/>
          <w:sz w:val="24"/>
        </w:rPr>
      </w:pPr>
      <w:r>
        <w:rPr>
          <w:rFonts w:hint="eastAsia" w:eastAsia="仿宋_GB2312"/>
          <w:sz w:val="24"/>
        </w:rPr>
        <w:t>日期：</w:t>
      </w:r>
      <w:r>
        <w:rPr>
          <w:rFonts w:eastAsia="仿宋_GB2312"/>
          <w:sz w:val="24"/>
        </w:rPr>
        <w:t xml:space="preserve"> 201</w:t>
      </w:r>
      <w:r>
        <w:rPr>
          <w:rFonts w:hint="eastAsia" w:eastAsia="仿宋_GB2312"/>
          <w:sz w:val="24"/>
          <w:lang w:val="en-US" w:eastAsia="zh-CN"/>
        </w:rPr>
        <w:t>8</w:t>
      </w: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r>
        <w:rPr>
          <w:rFonts w:hint="eastAsia" w:eastAsia="仿宋_GB2312"/>
          <w:sz w:val="24"/>
        </w:rPr>
        <w:t>日</w:t>
      </w:r>
      <w:r>
        <w:rPr>
          <w:rFonts w:hint="eastAsia" w:eastAsia="仿宋_GB2312"/>
          <w:sz w:val="24"/>
          <w:lang w:val="en-US" w:eastAsia="zh-CN"/>
        </w:rPr>
        <w:t xml:space="preserve">                </w:t>
      </w:r>
      <w:r>
        <w:rPr>
          <w:rFonts w:hint="eastAsia" w:eastAsia="仿宋_GB2312"/>
          <w:sz w:val="24"/>
        </w:rPr>
        <w:t>日期：</w:t>
      </w:r>
      <w:r>
        <w:rPr>
          <w:rFonts w:eastAsia="仿宋_GB2312"/>
          <w:sz w:val="24"/>
        </w:rPr>
        <w:t>201</w:t>
      </w:r>
      <w:r>
        <w:rPr>
          <w:rFonts w:hint="eastAsia" w:eastAsia="仿宋_GB2312"/>
          <w:sz w:val="24"/>
          <w:lang w:val="en-US" w:eastAsia="zh-CN"/>
        </w:rPr>
        <w:t>8</w:t>
      </w: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r>
        <w:rPr>
          <w:rFonts w:hint="eastAsia" w:eastAsia="仿宋_GB2312"/>
          <w:sz w:val="24"/>
        </w:rPr>
        <w:t>日</w:t>
      </w:r>
    </w:p>
    <w:p>
      <w:pPr>
        <w:rPr>
          <w:b/>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widowControl/>
        <w:jc w:val="left"/>
        <w:rPr>
          <w:rFonts w:ascii="宋体"/>
          <w:b/>
          <w:kern w:val="0"/>
          <w:sz w:val="28"/>
          <w:szCs w:val="28"/>
        </w:rPr>
      </w:pPr>
    </w:p>
    <w:p>
      <w:pPr>
        <w:spacing w:line="360" w:lineRule="auto"/>
        <w:rPr>
          <w:rFonts w:ascii="仿宋" w:hAnsi="仿宋" w:eastAsia="仿宋"/>
          <w:b/>
          <w:sz w:val="24"/>
        </w:rPr>
      </w:pPr>
      <w:r>
        <w:rPr>
          <w:rFonts w:hint="eastAsia" w:ascii="仿宋" w:hAnsi="仿宋" w:eastAsia="仿宋"/>
          <w:b/>
          <w:sz w:val="24"/>
        </w:rPr>
        <w:t>附件</w:t>
      </w:r>
      <w:r>
        <w:rPr>
          <w:rFonts w:ascii="仿宋" w:hAnsi="仿宋" w:eastAsia="仿宋"/>
          <w:b/>
          <w:sz w:val="24"/>
        </w:rPr>
        <w:t>1</w:t>
      </w:r>
      <w:r>
        <w:rPr>
          <w:rFonts w:hint="eastAsia" w:ascii="仿宋" w:hAnsi="仿宋" w:eastAsia="仿宋"/>
          <w:b/>
          <w:sz w:val="24"/>
        </w:rPr>
        <w:t>：民生银行深圳分行理财经理2018年投资策略会</w:t>
      </w:r>
    </w:p>
    <w:p>
      <w:pPr>
        <w:spacing w:line="360" w:lineRule="auto"/>
        <w:rPr>
          <w:rFonts w:ascii="仿宋" w:hAnsi="仿宋" w:eastAsia="仿宋"/>
          <w:b/>
          <w:sz w:val="24"/>
        </w:rPr>
      </w:pPr>
    </w:p>
    <w:p>
      <w:pPr>
        <w:spacing w:line="360" w:lineRule="auto"/>
        <w:rPr>
          <w:rFonts w:ascii="仿宋" w:hAnsi="仿宋" w:eastAsia="仿宋"/>
          <w:sz w:val="24"/>
          <w:u w:val="single"/>
        </w:rPr>
      </w:pPr>
      <w:r>
        <w:rPr>
          <w:rFonts w:hint="eastAsia" w:ascii="仿宋" w:hAnsi="仿宋" w:eastAsia="仿宋"/>
          <w:b/>
          <w:sz w:val="24"/>
        </w:rPr>
        <w:t>会议议题：</w:t>
      </w:r>
      <w:r>
        <w:rPr>
          <w:rFonts w:ascii="仿宋" w:hAnsi="仿宋" w:eastAsia="仿宋"/>
          <w:sz w:val="24"/>
          <w:u w:val="single"/>
        </w:rPr>
        <w:t>2018年投资策略会</w:t>
      </w:r>
    </w:p>
    <w:p>
      <w:pPr>
        <w:spacing w:line="360" w:lineRule="auto"/>
        <w:rPr>
          <w:rFonts w:ascii="仿宋" w:hAnsi="仿宋" w:eastAsia="仿宋"/>
          <w:sz w:val="24"/>
          <w:u w:val="single"/>
        </w:rPr>
      </w:pPr>
      <w:r>
        <w:rPr>
          <w:rFonts w:hint="eastAsia" w:ascii="仿宋" w:hAnsi="仿宋" w:eastAsia="仿宋"/>
          <w:b/>
          <w:sz w:val="24"/>
        </w:rPr>
        <w:t>会议时间</w:t>
      </w:r>
      <w:r>
        <w:rPr>
          <w:rFonts w:hint="eastAsia" w:ascii="仿宋" w:hAnsi="仿宋" w:eastAsia="仿宋"/>
          <w:sz w:val="24"/>
        </w:rPr>
        <w:t>：</w:t>
      </w:r>
      <w:r>
        <w:rPr>
          <w:rFonts w:ascii="仿宋" w:hAnsi="仿宋" w:eastAsia="仿宋"/>
          <w:sz w:val="24"/>
          <w:u w:val="single"/>
        </w:rPr>
        <w:t>201</w:t>
      </w:r>
      <w:r>
        <w:rPr>
          <w:rFonts w:hint="eastAsia" w:ascii="仿宋" w:hAnsi="仿宋" w:eastAsia="仿宋"/>
          <w:sz w:val="24"/>
          <w:u w:val="single"/>
          <w:lang w:val="en-US" w:eastAsia="zh-CN"/>
        </w:rPr>
        <w:t>8</w:t>
      </w:r>
      <w:r>
        <w:rPr>
          <w:rFonts w:hint="eastAsia" w:ascii="仿宋" w:hAnsi="仿宋" w:eastAsia="仿宋"/>
          <w:sz w:val="24"/>
          <w:u w:val="single"/>
        </w:rPr>
        <w:t>年</w:t>
      </w:r>
      <w:r>
        <w:rPr>
          <w:rFonts w:hint="eastAsia" w:ascii="仿宋" w:hAnsi="仿宋" w:eastAsia="仿宋"/>
          <w:sz w:val="24"/>
          <w:u w:val="single"/>
          <w:lang w:val="en-US" w:eastAsia="zh-CN"/>
        </w:rPr>
        <w:t>1</w:t>
      </w:r>
      <w:r>
        <w:rPr>
          <w:rFonts w:hint="eastAsia" w:ascii="仿宋" w:hAnsi="仿宋" w:eastAsia="仿宋"/>
          <w:sz w:val="24"/>
          <w:u w:val="single"/>
        </w:rPr>
        <w:t>月2</w:t>
      </w:r>
      <w:r>
        <w:rPr>
          <w:rFonts w:hint="eastAsia" w:ascii="仿宋" w:hAnsi="仿宋" w:eastAsia="仿宋"/>
          <w:sz w:val="24"/>
          <w:u w:val="single"/>
          <w:lang w:val="en-US" w:eastAsia="zh-CN"/>
        </w:rPr>
        <w:t>4</w:t>
      </w:r>
      <w:r>
        <w:rPr>
          <w:rFonts w:hint="eastAsia" w:ascii="仿宋" w:hAnsi="仿宋" w:eastAsia="仿宋"/>
          <w:sz w:val="24"/>
          <w:u w:val="single"/>
        </w:rPr>
        <w:t>日</w:t>
      </w:r>
    </w:p>
    <w:p>
      <w:pPr>
        <w:spacing w:line="360" w:lineRule="auto"/>
        <w:rPr>
          <w:rFonts w:ascii="仿宋" w:hAnsi="仿宋" w:eastAsia="仿宋"/>
          <w:sz w:val="24"/>
          <w:u w:val="single"/>
        </w:rPr>
      </w:pPr>
      <w:r>
        <w:rPr>
          <w:rFonts w:hint="eastAsia" w:ascii="仿宋" w:hAnsi="仿宋" w:eastAsia="仿宋"/>
          <w:b/>
          <w:sz w:val="24"/>
        </w:rPr>
        <w:t>会议地点：</w:t>
      </w:r>
      <w:r>
        <w:rPr>
          <w:rFonts w:hint="eastAsia" w:ascii="仿宋" w:hAnsi="仿宋" w:eastAsia="仿宋"/>
          <w:sz w:val="24"/>
          <w:u w:val="single"/>
          <w:lang w:eastAsia="zh-CN"/>
        </w:rPr>
        <w:t>深圳</w:t>
      </w:r>
    </w:p>
    <w:p>
      <w:pPr>
        <w:ind w:left="1205" w:hanging="1205" w:hangingChars="500"/>
        <w:rPr>
          <w:rFonts w:ascii="仿宋" w:hAnsi="仿宋" w:eastAsia="仿宋"/>
          <w:sz w:val="24"/>
          <w:u w:val="single"/>
        </w:rPr>
      </w:pPr>
      <w:r>
        <w:rPr>
          <w:rFonts w:hint="eastAsia" w:ascii="仿宋" w:hAnsi="仿宋" w:eastAsia="仿宋"/>
          <w:b/>
          <w:sz w:val="24"/>
        </w:rPr>
        <w:t>参加人员</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u w:val="single"/>
          <w:lang w:eastAsia="zh-CN"/>
        </w:rPr>
        <w:t>中国银行部分理财经理共</w:t>
      </w:r>
      <w:r>
        <w:rPr>
          <w:rFonts w:ascii="仿宋" w:hAnsi="仿宋" w:eastAsia="仿宋"/>
          <w:sz w:val="24"/>
          <w:u w:val="single"/>
        </w:rPr>
        <w:t>计</w:t>
      </w:r>
      <w:r>
        <w:rPr>
          <w:rFonts w:hint="eastAsia" w:ascii="仿宋" w:hAnsi="仿宋" w:eastAsia="仿宋"/>
          <w:sz w:val="24"/>
          <w:u w:val="single"/>
          <w:lang w:val="en-US" w:eastAsia="zh-CN"/>
        </w:rPr>
        <w:t>70</w:t>
      </w:r>
      <w:r>
        <w:rPr>
          <w:rFonts w:ascii="仿宋" w:hAnsi="仿宋" w:eastAsia="仿宋"/>
          <w:sz w:val="24"/>
          <w:u w:val="single"/>
        </w:rPr>
        <w:t>人</w:t>
      </w:r>
    </w:p>
    <w:p>
      <w:pPr>
        <w:spacing w:line="360" w:lineRule="auto"/>
        <w:ind w:firstLine="1200" w:firstLineChars="500"/>
        <w:rPr>
          <w:rFonts w:ascii="仿宋" w:hAnsi="仿宋" w:eastAsia="仿宋"/>
          <w:sz w:val="24"/>
          <w:u w:val="single"/>
        </w:rPr>
      </w:pPr>
    </w:p>
    <w:p>
      <w:pPr>
        <w:spacing w:line="360" w:lineRule="auto"/>
        <w:ind w:firstLine="1200" w:firstLineChars="500"/>
        <w:rPr>
          <w:rFonts w:ascii="仿宋" w:hAnsi="仿宋" w:eastAsia="仿宋"/>
          <w:sz w:val="24"/>
          <w:u w:val="single"/>
        </w:rPr>
      </w:pPr>
    </w:p>
    <w:tbl>
      <w:tblPr>
        <w:tblStyle w:val="11"/>
        <w:tblW w:w="9073" w:type="dxa"/>
        <w:tblInd w:w="-34" w:type="dxa"/>
        <w:tblLayout w:type="fixed"/>
        <w:tblCellMar>
          <w:top w:w="0" w:type="dxa"/>
          <w:left w:w="108" w:type="dxa"/>
          <w:bottom w:w="0" w:type="dxa"/>
          <w:right w:w="108" w:type="dxa"/>
        </w:tblCellMar>
      </w:tblPr>
      <w:tblGrid>
        <w:gridCol w:w="1702"/>
        <w:gridCol w:w="1984"/>
        <w:gridCol w:w="3402"/>
        <w:gridCol w:w="1985"/>
      </w:tblGrid>
      <w:tr>
        <w:tblPrEx>
          <w:tblLayout w:type="fixed"/>
          <w:tblCellMar>
            <w:top w:w="0" w:type="dxa"/>
            <w:left w:w="108" w:type="dxa"/>
            <w:bottom w:w="0" w:type="dxa"/>
            <w:right w:w="108" w:type="dxa"/>
          </w:tblCellMar>
        </w:tblPrEx>
        <w:trPr>
          <w:trHeight w:val="275" w:hRule="atLeast"/>
        </w:trPr>
        <w:tc>
          <w:tcPr>
            <w:tcW w:w="1702" w:type="dxa"/>
            <w:tcBorders>
              <w:top w:val="single" w:color="auto" w:sz="8" w:space="0"/>
              <w:left w:val="single" w:color="auto" w:sz="8" w:space="0"/>
              <w:bottom w:val="single" w:color="auto" w:sz="4"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日期</w:t>
            </w:r>
          </w:p>
        </w:tc>
        <w:tc>
          <w:tcPr>
            <w:tcW w:w="1984" w:type="dxa"/>
            <w:tcBorders>
              <w:top w:val="single" w:color="auto" w:sz="8" w:space="0"/>
              <w:left w:val="nil"/>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时间</w:t>
            </w:r>
          </w:p>
        </w:tc>
        <w:tc>
          <w:tcPr>
            <w:tcW w:w="3402" w:type="dxa"/>
            <w:tcBorders>
              <w:top w:val="single" w:color="auto" w:sz="8" w:space="0"/>
              <w:left w:val="nil"/>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项目内容</w:t>
            </w:r>
          </w:p>
        </w:tc>
        <w:tc>
          <w:tcPr>
            <w:tcW w:w="1985" w:type="dxa"/>
            <w:tcBorders>
              <w:top w:val="single" w:color="auto" w:sz="8" w:space="0"/>
              <w:left w:val="nil"/>
              <w:bottom w:val="single" w:color="auto" w:sz="8" w:space="0"/>
              <w:right w:val="single" w:color="auto" w:sz="8" w:space="0"/>
            </w:tcBorders>
          </w:tcPr>
          <w:p>
            <w:pPr>
              <w:widowControl/>
              <w:jc w:val="center"/>
              <w:rPr>
                <w:rFonts w:ascii="仿宋" w:hAnsi="仿宋" w:eastAsia="仿宋"/>
                <w:color w:val="000000"/>
                <w:kern w:val="0"/>
                <w:sz w:val="24"/>
              </w:rPr>
            </w:pPr>
            <w:r>
              <w:rPr>
                <w:rFonts w:hint="eastAsia" w:ascii="仿宋" w:hAnsi="仿宋" w:eastAsia="仿宋"/>
                <w:color w:val="000000"/>
                <w:kern w:val="0"/>
                <w:sz w:val="24"/>
              </w:rPr>
              <w:t>项目负责人</w:t>
            </w:r>
          </w:p>
        </w:tc>
      </w:tr>
      <w:tr>
        <w:tblPrEx>
          <w:tblLayout w:type="fixed"/>
          <w:tblCellMar>
            <w:top w:w="0" w:type="dxa"/>
            <w:left w:w="108" w:type="dxa"/>
            <w:bottom w:w="0" w:type="dxa"/>
            <w:right w:w="108" w:type="dxa"/>
          </w:tblCellMar>
        </w:tblPrEx>
        <w:trPr>
          <w:trHeight w:val="357" w:hRule="atLeast"/>
        </w:trPr>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1月</w:t>
            </w:r>
            <w:r>
              <w:rPr>
                <w:rFonts w:hint="eastAsia" w:ascii="仿宋" w:hAnsi="仿宋" w:eastAsia="仿宋"/>
                <w:color w:val="000000"/>
                <w:kern w:val="0"/>
                <w:sz w:val="24"/>
                <w:lang w:val="en-US" w:eastAsia="zh-CN"/>
              </w:rPr>
              <w:t>24</w:t>
            </w:r>
            <w:r>
              <w:rPr>
                <w:rFonts w:hint="eastAsia" w:ascii="仿宋" w:hAnsi="仿宋" w:eastAsia="仿宋"/>
                <w:color w:val="000000"/>
                <w:kern w:val="0"/>
                <w:sz w:val="24"/>
              </w:rPr>
              <w:t>日</w:t>
            </w:r>
          </w:p>
        </w:tc>
        <w:tc>
          <w:tcPr>
            <w:tcW w:w="1984"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lang w:val="en-US" w:eastAsia="zh-CN"/>
              </w:rPr>
              <w:t>1</w:t>
            </w:r>
            <w:r>
              <w:rPr>
                <w:rFonts w:ascii="仿宋" w:hAnsi="仿宋" w:eastAsia="仿宋"/>
                <w:color w:val="000000"/>
                <w:kern w:val="0"/>
                <w:sz w:val="24"/>
              </w:rPr>
              <w:t>8:30-</w:t>
            </w:r>
            <w:r>
              <w:rPr>
                <w:rFonts w:hint="eastAsia" w:ascii="仿宋" w:hAnsi="仿宋" w:eastAsia="仿宋"/>
                <w:color w:val="000000"/>
                <w:kern w:val="0"/>
                <w:sz w:val="24"/>
                <w:lang w:val="en-US" w:eastAsia="zh-CN"/>
              </w:rPr>
              <w:t>2</w:t>
            </w:r>
            <w:r>
              <w:rPr>
                <w:rFonts w:ascii="仿宋" w:hAnsi="仿宋" w:eastAsia="仿宋"/>
                <w:color w:val="000000"/>
                <w:kern w:val="0"/>
                <w:sz w:val="24"/>
              </w:rPr>
              <w:t>1</w:t>
            </w:r>
            <w:r>
              <w:rPr>
                <w:rFonts w:hint="eastAsia" w:ascii="仿宋" w:hAnsi="仿宋" w:eastAsia="仿宋"/>
                <w:color w:val="000000"/>
                <w:kern w:val="0"/>
                <w:sz w:val="24"/>
              </w:rPr>
              <w:t>：</w:t>
            </w:r>
            <w:r>
              <w:rPr>
                <w:rFonts w:ascii="仿宋" w:hAnsi="仿宋" w:eastAsia="仿宋"/>
                <w:color w:val="000000"/>
                <w:kern w:val="0"/>
                <w:sz w:val="24"/>
              </w:rPr>
              <w:t>30</w:t>
            </w:r>
          </w:p>
        </w:tc>
        <w:tc>
          <w:tcPr>
            <w:tcW w:w="3402" w:type="dxa"/>
            <w:tcBorders>
              <w:top w:val="single" w:color="auto" w:sz="4" w:space="0"/>
              <w:left w:val="nil"/>
              <w:bottom w:val="single" w:color="auto" w:sz="4" w:space="0"/>
              <w:right w:val="single" w:color="auto" w:sz="8" w:space="0"/>
            </w:tcBorders>
            <w:vAlign w:val="center"/>
          </w:tcPr>
          <w:p>
            <w:pPr>
              <w:jc w:val="center"/>
              <w:rPr>
                <w:rFonts w:hint="eastAsia" w:ascii="仿宋" w:hAnsi="仿宋" w:eastAsia="仿宋"/>
                <w:color w:val="000000"/>
                <w:kern w:val="0"/>
                <w:sz w:val="24"/>
                <w:lang w:eastAsia="zh-CN"/>
              </w:rPr>
            </w:pPr>
            <w:r>
              <w:rPr>
                <w:rFonts w:hint="eastAsia" w:ascii="仿宋" w:hAnsi="仿宋" w:eastAsia="仿宋"/>
                <w:color w:val="000000"/>
                <w:kern w:val="0"/>
                <w:sz w:val="24"/>
                <w:lang w:eastAsia="zh-CN"/>
              </w:rPr>
              <w:t>晚宴</w:t>
            </w:r>
          </w:p>
        </w:tc>
        <w:tc>
          <w:tcPr>
            <w:tcW w:w="1985" w:type="dxa"/>
            <w:tcBorders>
              <w:top w:val="single" w:color="auto" w:sz="4" w:space="0"/>
              <w:left w:val="single" w:color="auto" w:sz="8" w:space="0"/>
              <w:bottom w:val="single" w:color="000000" w:sz="8" w:space="0"/>
              <w:right w:val="single" w:color="auto" w:sz="8" w:space="0"/>
            </w:tcBorders>
            <w:vAlign w:val="center"/>
          </w:tcPr>
          <w:p>
            <w:pPr>
              <w:widowControl/>
              <w:jc w:val="center"/>
              <w:rPr>
                <w:rFonts w:ascii="仿宋" w:hAnsi="仿宋" w:eastAsia="仿宋"/>
                <w:color w:val="000000"/>
                <w:kern w:val="0"/>
                <w:sz w:val="24"/>
              </w:rPr>
            </w:pPr>
            <w:r>
              <w:rPr>
                <w:rFonts w:hint="eastAsia" w:ascii="仿宋" w:hAnsi="仿宋" w:eastAsia="仿宋"/>
                <w:sz w:val="24"/>
              </w:rPr>
              <w:t>王琦</w:t>
            </w:r>
          </w:p>
        </w:tc>
      </w:tr>
    </w:tbl>
    <w:p>
      <w:pPr>
        <w:spacing w:line="360" w:lineRule="auto"/>
        <w:rPr>
          <w:rFonts w:ascii="仿宋" w:hAnsi="仿宋" w:eastAsia="仿宋"/>
          <w:sz w:val="24"/>
        </w:rPr>
      </w:pPr>
    </w:p>
    <w:p>
      <w:pPr>
        <w:spacing w:line="360" w:lineRule="auto"/>
        <w:rPr>
          <w:rFonts w:ascii="仿宋" w:hAnsi="仿宋" w:eastAsia="仿宋"/>
          <w:b/>
          <w:sz w:val="24"/>
        </w:rPr>
      </w:pPr>
      <w:r>
        <w:rPr>
          <w:rFonts w:hint="eastAsia" w:ascii="仿宋" w:hAnsi="仿宋" w:eastAsia="仿宋"/>
          <w:b/>
          <w:sz w:val="24"/>
        </w:rPr>
        <w:t>附件</w:t>
      </w:r>
      <w:r>
        <w:rPr>
          <w:rFonts w:ascii="仿宋" w:hAnsi="仿宋" w:eastAsia="仿宋"/>
          <w:b/>
          <w:sz w:val="24"/>
        </w:rPr>
        <w:t>2</w:t>
      </w:r>
      <w:r>
        <w:rPr>
          <w:rFonts w:hint="eastAsia" w:ascii="仿宋" w:hAnsi="仿宋" w:eastAsia="仿宋"/>
          <w:b/>
          <w:sz w:val="24"/>
        </w:rPr>
        <w:t>：费用预算</w:t>
      </w:r>
    </w:p>
    <w:tbl>
      <w:tblPr>
        <w:tblStyle w:val="11"/>
        <w:tblW w:w="9039" w:type="dxa"/>
        <w:tblInd w:w="0" w:type="dxa"/>
        <w:tblLayout w:type="fixed"/>
        <w:tblCellMar>
          <w:top w:w="0" w:type="dxa"/>
          <w:left w:w="108" w:type="dxa"/>
          <w:bottom w:w="0" w:type="dxa"/>
          <w:right w:w="108" w:type="dxa"/>
        </w:tblCellMar>
      </w:tblPr>
      <w:tblGrid>
        <w:gridCol w:w="1621"/>
        <w:gridCol w:w="2031"/>
        <w:gridCol w:w="5387"/>
      </w:tblGrid>
      <w:tr>
        <w:tblPrEx>
          <w:tblLayout w:type="fixed"/>
          <w:tblCellMar>
            <w:top w:w="0" w:type="dxa"/>
            <w:left w:w="108" w:type="dxa"/>
            <w:bottom w:w="0" w:type="dxa"/>
            <w:right w:w="108" w:type="dxa"/>
          </w:tblCellMar>
        </w:tblPrEx>
        <w:trPr>
          <w:trHeight w:val="585" w:hRule="atLeast"/>
        </w:trPr>
        <w:tc>
          <w:tcPr>
            <w:tcW w:w="1621"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ascii="仿宋" w:hAnsi="仿宋" w:eastAsia="仿宋"/>
                <w:sz w:val="24"/>
              </w:rPr>
            </w:pPr>
            <w:r>
              <w:rPr>
                <w:rFonts w:hint="eastAsia" w:ascii="仿宋" w:hAnsi="仿宋" w:eastAsia="仿宋"/>
                <w:b/>
                <w:bCs/>
                <w:sz w:val="24"/>
              </w:rPr>
              <w:t>项目名称</w:t>
            </w:r>
          </w:p>
        </w:tc>
        <w:tc>
          <w:tcPr>
            <w:tcW w:w="2031" w:type="dxa"/>
            <w:tcBorders>
              <w:top w:val="single" w:color="auto" w:sz="8" w:space="0"/>
              <w:left w:val="nil"/>
              <w:bottom w:val="single" w:color="auto" w:sz="4" w:space="0"/>
              <w:right w:val="single" w:color="auto" w:sz="4" w:space="0"/>
            </w:tcBorders>
            <w:vAlign w:val="center"/>
          </w:tcPr>
          <w:p>
            <w:pPr>
              <w:spacing w:line="360" w:lineRule="auto"/>
              <w:jc w:val="center"/>
              <w:rPr>
                <w:rFonts w:ascii="仿宋" w:hAnsi="仿宋" w:eastAsia="仿宋" w:cs="宋体"/>
                <w:b/>
                <w:bCs/>
                <w:sz w:val="24"/>
              </w:rPr>
            </w:pPr>
            <w:r>
              <w:rPr>
                <w:rFonts w:hint="eastAsia" w:ascii="仿宋" w:hAnsi="仿宋" w:eastAsia="仿宋"/>
                <w:b/>
                <w:bCs/>
                <w:sz w:val="24"/>
              </w:rPr>
              <w:t>金额（元）</w:t>
            </w:r>
          </w:p>
        </w:tc>
        <w:tc>
          <w:tcPr>
            <w:tcW w:w="5387" w:type="dxa"/>
            <w:tcBorders>
              <w:top w:val="single" w:color="auto" w:sz="8" w:space="0"/>
              <w:left w:val="nil"/>
              <w:bottom w:val="single" w:color="auto" w:sz="4" w:space="0"/>
              <w:right w:val="single" w:color="auto" w:sz="4" w:space="0"/>
            </w:tcBorders>
            <w:vAlign w:val="center"/>
          </w:tcPr>
          <w:p>
            <w:pPr>
              <w:spacing w:line="360" w:lineRule="auto"/>
              <w:jc w:val="center"/>
              <w:rPr>
                <w:rFonts w:ascii="仿宋" w:hAnsi="仿宋" w:eastAsia="仿宋"/>
                <w:b/>
                <w:bCs/>
                <w:sz w:val="24"/>
              </w:rPr>
            </w:pPr>
            <w:r>
              <w:rPr>
                <w:rFonts w:hint="eastAsia" w:ascii="仿宋" w:hAnsi="仿宋" w:eastAsia="仿宋"/>
                <w:b/>
                <w:bCs/>
                <w:sz w:val="24"/>
              </w:rPr>
              <w:t>备注</w:t>
            </w:r>
          </w:p>
        </w:tc>
      </w:tr>
      <w:tr>
        <w:tblPrEx>
          <w:tblLayout w:type="fixed"/>
          <w:tblCellMar>
            <w:top w:w="0" w:type="dxa"/>
            <w:left w:w="108" w:type="dxa"/>
            <w:bottom w:w="0" w:type="dxa"/>
            <w:right w:w="108" w:type="dxa"/>
          </w:tblCellMar>
        </w:tblPrEx>
        <w:trPr>
          <w:trHeight w:val="467" w:hRule="atLeast"/>
        </w:trPr>
        <w:tc>
          <w:tcPr>
            <w:tcW w:w="1621" w:type="dxa"/>
            <w:tcBorders>
              <w:top w:val="single" w:color="auto" w:sz="8" w:space="0"/>
              <w:left w:val="single" w:color="auto" w:sz="8" w:space="0"/>
              <w:bottom w:val="single" w:color="auto" w:sz="4" w:space="0"/>
              <w:right w:val="single" w:color="auto" w:sz="4" w:space="0"/>
            </w:tcBorders>
            <w:vAlign w:val="center"/>
          </w:tcPr>
          <w:p>
            <w:pPr>
              <w:jc w:val="center"/>
              <w:rPr>
                <w:rFonts w:ascii="仿宋" w:hAnsi="仿宋" w:eastAsia="仿宋"/>
                <w:bCs/>
                <w:sz w:val="24"/>
              </w:rPr>
            </w:pPr>
            <w:r>
              <w:rPr>
                <w:rFonts w:hint="eastAsia" w:ascii="仿宋" w:hAnsi="仿宋" w:eastAsia="仿宋"/>
                <w:sz w:val="24"/>
              </w:rPr>
              <w:t>餐费</w:t>
            </w:r>
          </w:p>
        </w:tc>
        <w:tc>
          <w:tcPr>
            <w:tcW w:w="2031" w:type="dxa"/>
            <w:tcBorders>
              <w:top w:val="single" w:color="auto" w:sz="8" w:space="0"/>
              <w:left w:val="nil"/>
              <w:bottom w:val="single" w:color="auto" w:sz="4" w:space="0"/>
              <w:right w:val="single" w:color="auto" w:sz="4" w:space="0"/>
            </w:tcBorders>
            <w:vAlign w:val="center"/>
          </w:tcPr>
          <w:p>
            <w:pPr>
              <w:widowControl/>
              <w:jc w:val="center"/>
              <w:textAlignment w:val="center"/>
              <w:rPr>
                <w:rFonts w:ascii="仿宋" w:hAnsi="仿宋" w:eastAsia="仿宋"/>
                <w:bCs/>
                <w:sz w:val="24"/>
              </w:rPr>
            </w:pPr>
            <w:r>
              <w:rPr>
                <w:rFonts w:hint="eastAsia" w:ascii="仿宋" w:hAnsi="仿宋" w:eastAsia="仿宋" w:cs="仿宋"/>
                <w:color w:val="000000"/>
                <w:kern w:val="0"/>
                <w:sz w:val="24"/>
                <w:lang w:val="en-US" w:eastAsia="zh-CN"/>
              </w:rPr>
              <w:t>38185</w:t>
            </w:r>
          </w:p>
        </w:tc>
        <w:tc>
          <w:tcPr>
            <w:tcW w:w="5387" w:type="dxa"/>
            <w:tcBorders>
              <w:top w:val="single" w:color="auto" w:sz="8" w:space="0"/>
              <w:left w:val="nil"/>
              <w:bottom w:val="single" w:color="auto" w:sz="4" w:space="0"/>
              <w:right w:val="single" w:color="auto" w:sz="4" w:space="0"/>
            </w:tcBorders>
            <w:vAlign w:val="center"/>
          </w:tcPr>
          <w:p>
            <w:pPr>
              <w:jc w:val="center"/>
              <w:rPr>
                <w:rFonts w:ascii="仿宋" w:hAnsi="仿宋" w:eastAsia="仿宋"/>
                <w:bCs/>
                <w:sz w:val="24"/>
              </w:rPr>
            </w:pPr>
            <w:r>
              <w:rPr>
                <w:rFonts w:hint="eastAsia" w:ascii="仿宋" w:hAnsi="仿宋" w:eastAsia="仿宋" w:cs="宋体"/>
                <w:sz w:val="24"/>
              </w:rPr>
              <w:t>2</w:t>
            </w:r>
            <w:r>
              <w:rPr>
                <w:rFonts w:hint="eastAsia" w:ascii="仿宋" w:hAnsi="仿宋" w:eastAsia="仿宋" w:cs="宋体"/>
                <w:sz w:val="24"/>
                <w:lang w:val="en-US" w:eastAsia="zh-CN"/>
              </w:rPr>
              <w:t>4</w:t>
            </w:r>
            <w:r>
              <w:rPr>
                <w:rFonts w:hint="eastAsia" w:ascii="仿宋" w:hAnsi="仿宋" w:eastAsia="仿宋" w:cs="宋体"/>
                <w:sz w:val="24"/>
              </w:rPr>
              <w:t>日</w:t>
            </w:r>
            <w:r>
              <w:rPr>
                <w:rFonts w:hint="eastAsia" w:ascii="仿宋" w:hAnsi="仿宋" w:eastAsia="仿宋" w:cs="宋体"/>
                <w:sz w:val="24"/>
                <w:lang w:eastAsia="zh-CN"/>
              </w:rPr>
              <w:t>晚</w:t>
            </w:r>
            <w:r>
              <w:rPr>
                <w:rFonts w:hint="eastAsia" w:ascii="仿宋" w:hAnsi="仿宋" w:eastAsia="仿宋" w:cs="宋体"/>
                <w:sz w:val="24"/>
              </w:rPr>
              <w:t>餐</w:t>
            </w:r>
            <w:r>
              <w:rPr>
                <w:rFonts w:hint="eastAsia" w:ascii="仿宋" w:hAnsi="仿宋" w:eastAsia="仿宋" w:cs="宋体"/>
                <w:sz w:val="24"/>
                <w:lang w:val="en-US" w:eastAsia="zh-CN"/>
              </w:rPr>
              <w:t>7</w:t>
            </w:r>
            <w:r>
              <w:rPr>
                <w:rFonts w:hint="eastAsia" w:ascii="仿宋" w:hAnsi="仿宋" w:eastAsia="仿宋" w:cs="宋体"/>
                <w:sz w:val="24"/>
              </w:rPr>
              <w:t>桌*</w:t>
            </w:r>
            <w:r>
              <w:rPr>
                <w:rFonts w:hint="eastAsia" w:ascii="仿宋" w:hAnsi="仿宋" w:eastAsia="仿宋" w:cs="宋体"/>
                <w:sz w:val="24"/>
                <w:lang w:val="en-US" w:eastAsia="zh-CN"/>
              </w:rPr>
              <w:t>5455</w:t>
            </w:r>
            <w:r>
              <w:rPr>
                <w:rFonts w:hint="eastAsia" w:ascii="仿宋" w:hAnsi="仿宋" w:eastAsia="仿宋" w:cs="宋体"/>
                <w:sz w:val="24"/>
              </w:rPr>
              <w:t>元</w:t>
            </w:r>
          </w:p>
        </w:tc>
      </w:tr>
      <w:tr>
        <w:tblPrEx>
          <w:tblLayout w:type="fixed"/>
          <w:tblCellMar>
            <w:top w:w="0" w:type="dxa"/>
            <w:left w:w="108" w:type="dxa"/>
            <w:bottom w:w="0" w:type="dxa"/>
            <w:right w:w="108" w:type="dxa"/>
          </w:tblCellMar>
        </w:tblPrEx>
        <w:trPr>
          <w:trHeight w:val="461" w:hRule="atLeast"/>
        </w:trPr>
        <w:tc>
          <w:tcPr>
            <w:tcW w:w="1621"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服务费</w:t>
            </w:r>
          </w:p>
        </w:tc>
        <w:tc>
          <w:tcPr>
            <w:tcW w:w="203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olor w:val="000000"/>
                <w:sz w:val="24"/>
                <w:lang w:eastAsia="zh-CN"/>
              </w:rPr>
            </w:pPr>
            <w:r>
              <w:rPr>
                <w:rFonts w:hint="eastAsia" w:ascii="仿宋" w:hAnsi="仿宋" w:eastAsia="仿宋" w:cs="仿宋"/>
                <w:color w:val="000000"/>
                <w:kern w:val="0"/>
                <w:sz w:val="24"/>
                <w:lang w:val="en-US" w:eastAsia="zh-CN"/>
              </w:rPr>
              <w:t>3815</w:t>
            </w:r>
          </w:p>
        </w:tc>
        <w:tc>
          <w:tcPr>
            <w:tcW w:w="538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47" w:hRule="atLeast"/>
        </w:trPr>
        <w:tc>
          <w:tcPr>
            <w:tcW w:w="1621"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合计</w:t>
            </w:r>
          </w:p>
        </w:tc>
        <w:tc>
          <w:tcPr>
            <w:tcW w:w="203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sz w:val="24"/>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000</w:t>
            </w:r>
          </w:p>
        </w:tc>
        <w:tc>
          <w:tcPr>
            <w:tcW w:w="538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rPr>
            </w:pPr>
          </w:p>
        </w:tc>
      </w:tr>
    </w:tbl>
    <w:p>
      <w:pPr>
        <w:spacing w:line="360" w:lineRule="auto"/>
        <w:ind w:left="-567" w:leftChars="-270" w:right="-525" w:rightChars="-250"/>
        <w:rPr>
          <w:rFonts w:ascii="仿宋" w:hAnsi="仿宋" w:eastAsia="仿宋"/>
          <w:sz w:val="24"/>
        </w:rPr>
      </w:pPr>
      <w:bookmarkStart w:id="0" w:name="_GoBack"/>
      <w:bookmarkEnd w:id="0"/>
    </w:p>
    <w:sectPr>
      <w:pgSz w:w="11906" w:h="16838"/>
      <w:pgMar w:top="1440" w:right="1133"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2158C"/>
    <w:multiLevelType w:val="multilevel"/>
    <w:tmpl w:val="6B42158C"/>
    <w:lvl w:ilvl="0" w:tentative="0">
      <w:start w:val="1"/>
      <w:numFmt w:val="bullet"/>
      <w:lvlText w:val=""/>
      <w:lvlJc w:val="left"/>
      <w:pPr>
        <w:ind w:left="800" w:hanging="360"/>
      </w:pPr>
      <w:rPr>
        <w:rFonts w:hint="default" w:ascii="Wingdings" w:hAnsi="Wingdings"/>
      </w:rPr>
    </w:lvl>
    <w:lvl w:ilvl="1" w:tentative="0">
      <w:start w:val="1"/>
      <w:numFmt w:val="bullet"/>
      <w:lvlText w:val="o"/>
      <w:lvlJc w:val="left"/>
      <w:pPr>
        <w:ind w:left="1520" w:hanging="360"/>
      </w:pPr>
      <w:rPr>
        <w:rFonts w:hint="default" w:ascii="Courier New" w:hAnsi="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rPr>
    </w:lvl>
    <w:lvl w:ilvl="8" w:tentative="0">
      <w:start w:val="1"/>
      <w:numFmt w:val="bullet"/>
      <w:lvlText w:val=""/>
      <w:lvlJc w:val="left"/>
      <w:pPr>
        <w:ind w:left="65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86"/>
    <w:rsid w:val="000021BC"/>
    <w:rsid w:val="0000475C"/>
    <w:rsid w:val="0000728C"/>
    <w:rsid w:val="000115A9"/>
    <w:rsid w:val="000130D1"/>
    <w:rsid w:val="00013BBE"/>
    <w:rsid w:val="00017D89"/>
    <w:rsid w:val="000248DA"/>
    <w:rsid w:val="00033671"/>
    <w:rsid w:val="00033E11"/>
    <w:rsid w:val="00036648"/>
    <w:rsid w:val="000376B5"/>
    <w:rsid w:val="000378C7"/>
    <w:rsid w:val="00040895"/>
    <w:rsid w:val="000417F3"/>
    <w:rsid w:val="000441EB"/>
    <w:rsid w:val="00044FBE"/>
    <w:rsid w:val="000467FD"/>
    <w:rsid w:val="00046B62"/>
    <w:rsid w:val="000515C1"/>
    <w:rsid w:val="00055412"/>
    <w:rsid w:val="00057916"/>
    <w:rsid w:val="00057A5B"/>
    <w:rsid w:val="00061454"/>
    <w:rsid w:val="000623A7"/>
    <w:rsid w:val="00062F7E"/>
    <w:rsid w:val="0007146F"/>
    <w:rsid w:val="00071740"/>
    <w:rsid w:val="00073B49"/>
    <w:rsid w:val="00074858"/>
    <w:rsid w:val="0007500E"/>
    <w:rsid w:val="00076634"/>
    <w:rsid w:val="00077FA4"/>
    <w:rsid w:val="0008413F"/>
    <w:rsid w:val="00084D2A"/>
    <w:rsid w:val="00085168"/>
    <w:rsid w:val="00085CBC"/>
    <w:rsid w:val="00087B44"/>
    <w:rsid w:val="00092610"/>
    <w:rsid w:val="00093CDC"/>
    <w:rsid w:val="00097F10"/>
    <w:rsid w:val="000A044D"/>
    <w:rsid w:val="000A0B1E"/>
    <w:rsid w:val="000A0F77"/>
    <w:rsid w:val="000A5D0E"/>
    <w:rsid w:val="000A65E8"/>
    <w:rsid w:val="000B181D"/>
    <w:rsid w:val="000B553A"/>
    <w:rsid w:val="000B6F11"/>
    <w:rsid w:val="000C4DC1"/>
    <w:rsid w:val="000C7E73"/>
    <w:rsid w:val="000D1210"/>
    <w:rsid w:val="000D1974"/>
    <w:rsid w:val="000D4C1A"/>
    <w:rsid w:val="000E07C6"/>
    <w:rsid w:val="000E2DB2"/>
    <w:rsid w:val="000E534B"/>
    <w:rsid w:val="000E6D9D"/>
    <w:rsid w:val="000F1AD9"/>
    <w:rsid w:val="000F76F6"/>
    <w:rsid w:val="000F7F2A"/>
    <w:rsid w:val="00101357"/>
    <w:rsid w:val="00101C6C"/>
    <w:rsid w:val="00103A84"/>
    <w:rsid w:val="00107A7E"/>
    <w:rsid w:val="00107FC4"/>
    <w:rsid w:val="00110918"/>
    <w:rsid w:val="001123CC"/>
    <w:rsid w:val="001124BE"/>
    <w:rsid w:val="00112F71"/>
    <w:rsid w:val="00113462"/>
    <w:rsid w:val="00113463"/>
    <w:rsid w:val="00116C46"/>
    <w:rsid w:val="00117204"/>
    <w:rsid w:val="00120E72"/>
    <w:rsid w:val="00122914"/>
    <w:rsid w:val="00122FB5"/>
    <w:rsid w:val="00127E65"/>
    <w:rsid w:val="0013087D"/>
    <w:rsid w:val="001360F0"/>
    <w:rsid w:val="00137B5A"/>
    <w:rsid w:val="00140C93"/>
    <w:rsid w:val="00142147"/>
    <w:rsid w:val="001424B3"/>
    <w:rsid w:val="00150DEA"/>
    <w:rsid w:val="00150F7E"/>
    <w:rsid w:val="00152BAB"/>
    <w:rsid w:val="00155BBF"/>
    <w:rsid w:val="00156AC5"/>
    <w:rsid w:val="0016079D"/>
    <w:rsid w:val="00161F5E"/>
    <w:rsid w:val="00164266"/>
    <w:rsid w:val="00166BE1"/>
    <w:rsid w:val="00170028"/>
    <w:rsid w:val="00172A27"/>
    <w:rsid w:val="0017371C"/>
    <w:rsid w:val="00174C46"/>
    <w:rsid w:val="00175156"/>
    <w:rsid w:val="001755A0"/>
    <w:rsid w:val="00175B34"/>
    <w:rsid w:val="00176383"/>
    <w:rsid w:val="001802CF"/>
    <w:rsid w:val="00181E68"/>
    <w:rsid w:val="00185D59"/>
    <w:rsid w:val="00186703"/>
    <w:rsid w:val="00190642"/>
    <w:rsid w:val="001928B8"/>
    <w:rsid w:val="001A0589"/>
    <w:rsid w:val="001A12C6"/>
    <w:rsid w:val="001A3358"/>
    <w:rsid w:val="001A475C"/>
    <w:rsid w:val="001A4EFA"/>
    <w:rsid w:val="001A6FB0"/>
    <w:rsid w:val="001B66E9"/>
    <w:rsid w:val="001B6F67"/>
    <w:rsid w:val="001B7C54"/>
    <w:rsid w:val="001C09A9"/>
    <w:rsid w:val="001C38AB"/>
    <w:rsid w:val="001C752E"/>
    <w:rsid w:val="001D2FBD"/>
    <w:rsid w:val="001D649F"/>
    <w:rsid w:val="001D6E68"/>
    <w:rsid w:val="001E5ADC"/>
    <w:rsid w:val="001E5B51"/>
    <w:rsid w:val="001E7888"/>
    <w:rsid w:val="001F002B"/>
    <w:rsid w:val="001F154A"/>
    <w:rsid w:val="001F2E29"/>
    <w:rsid w:val="001F5734"/>
    <w:rsid w:val="001F625C"/>
    <w:rsid w:val="001F7D56"/>
    <w:rsid w:val="00201732"/>
    <w:rsid w:val="00204A90"/>
    <w:rsid w:val="00204E18"/>
    <w:rsid w:val="00207052"/>
    <w:rsid w:val="00207B69"/>
    <w:rsid w:val="00207E1E"/>
    <w:rsid w:val="0021544B"/>
    <w:rsid w:val="002174AC"/>
    <w:rsid w:val="00217741"/>
    <w:rsid w:val="00217BB0"/>
    <w:rsid w:val="00222562"/>
    <w:rsid w:val="0022258C"/>
    <w:rsid w:val="00222EF4"/>
    <w:rsid w:val="00223143"/>
    <w:rsid w:val="002233B3"/>
    <w:rsid w:val="002247F3"/>
    <w:rsid w:val="002248FE"/>
    <w:rsid w:val="0022522E"/>
    <w:rsid w:val="00230B74"/>
    <w:rsid w:val="0023199C"/>
    <w:rsid w:val="002328E8"/>
    <w:rsid w:val="00232FF3"/>
    <w:rsid w:val="0023443C"/>
    <w:rsid w:val="00235950"/>
    <w:rsid w:val="0024027F"/>
    <w:rsid w:val="002408E6"/>
    <w:rsid w:val="002412EB"/>
    <w:rsid w:val="002471E5"/>
    <w:rsid w:val="002474AC"/>
    <w:rsid w:val="00250BDC"/>
    <w:rsid w:val="002519C1"/>
    <w:rsid w:val="00251B16"/>
    <w:rsid w:val="00255245"/>
    <w:rsid w:val="002569D0"/>
    <w:rsid w:val="00260704"/>
    <w:rsid w:val="00261B7C"/>
    <w:rsid w:val="00261C59"/>
    <w:rsid w:val="00261D1E"/>
    <w:rsid w:val="00262F7D"/>
    <w:rsid w:val="0026414A"/>
    <w:rsid w:val="00265436"/>
    <w:rsid w:val="002674B5"/>
    <w:rsid w:val="00267620"/>
    <w:rsid w:val="00281D5C"/>
    <w:rsid w:val="00283F20"/>
    <w:rsid w:val="0028472B"/>
    <w:rsid w:val="00292FE2"/>
    <w:rsid w:val="002948E5"/>
    <w:rsid w:val="00295417"/>
    <w:rsid w:val="002A00D3"/>
    <w:rsid w:val="002A1106"/>
    <w:rsid w:val="002A2275"/>
    <w:rsid w:val="002A477C"/>
    <w:rsid w:val="002A7FF1"/>
    <w:rsid w:val="002B2C27"/>
    <w:rsid w:val="002B63B1"/>
    <w:rsid w:val="002B7C74"/>
    <w:rsid w:val="002C1FE8"/>
    <w:rsid w:val="002D06F6"/>
    <w:rsid w:val="002D08EC"/>
    <w:rsid w:val="002D0D69"/>
    <w:rsid w:val="002D2951"/>
    <w:rsid w:val="002D2B09"/>
    <w:rsid w:val="002D3385"/>
    <w:rsid w:val="002D52B9"/>
    <w:rsid w:val="002D6AE4"/>
    <w:rsid w:val="002D6E3F"/>
    <w:rsid w:val="002D7EF2"/>
    <w:rsid w:val="002E2390"/>
    <w:rsid w:val="002E2F4F"/>
    <w:rsid w:val="002E4B27"/>
    <w:rsid w:val="002F0AF3"/>
    <w:rsid w:val="002F43C1"/>
    <w:rsid w:val="00300982"/>
    <w:rsid w:val="00300EF8"/>
    <w:rsid w:val="00301603"/>
    <w:rsid w:val="00302AF8"/>
    <w:rsid w:val="003128F6"/>
    <w:rsid w:val="003143EE"/>
    <w:rsid w:val="00316D21"/>
    <w:rsid w:val="00321A3B"/>
    <w:rsid w:val="00324C32"/>
    <w:rsid w:val="00325A9E"/>
    <w:rsid w:val="00326537"/>
    <w:rsid w:val="003321E0"/>
    <w:rsid w:val="00334098"/>
    <w:rsid w:val="003357ED"/>
    <w:rsid w:val="00341FEC"/>
    <w:rsid w:val="00342273"/>
    <w:rsid w:val="00343F2C"/>
    <w:rsid w:val="003473B5"/>
    <w:rsid w:val="00352C3A"/>
    <w:rsid w:val="0035340D"/>
    <w:rsid w:val="003621D3"/>
    <w:rsid w:val="003664DD"/>
    <w:rsid w:val="00367BE2"/>
    <w:rsid w:val="00370542"/>
    <w:rsid w:val="00371F45"/>
    <w:rsid w:val="00374970"/>
    <w:rsid w:val="003749C9"/>
    <w:rsid w:val="00377780"/>
    <w:rsid w:val="00380A83"/>
    <w:rsid w:val="00381CD3"/>
    <w:rsid w:val="003823D4"/>
    <w:rsid w:val="00384409"/>
    <w:rsid w:val="003846FA"/>
    <w:rsid w:val="0039046F"/>
    <w:rsid w:val="00393277"/>
    <w:rsid w:val="003A5BCD"/>
    <w:rsid w:val="003B429A"/>
    <w:rsid w:val="003B6DEF"/>
    <w:rsid w:val="003C0062"/>
    <w:rsid w:val="003C1953"/>
    <w:rsid w:val="003C4480"/>
    <w:rsid w:val="003D047A"/>
    <w:rsid w:val="003D0B46"/>
    <w:rsid w:val="003D436E"/>
    <w:rsid w:val="003D60D1"/>
    <w:rsid w:val="003D6D9B"/>
    <w:rsid w:val="003E06B3"/>
    <w:rsid w:val="003E1A87"/>
    <w:rsid w:val="003E296B"/>
    <w:rsid w:val="003E2B62"/>
    <w:rsid w:val="003E5AC8"/>
    <w:rsid w:val="003E5E59"/>
    <w:rsid w:val="003F0425"/>
    <w:rsid w:val="003F0AFE"/>
    <w:rsid w:val="003F1911"/>
    <w:rsid w:val="003F28CD"/>
    <w:rsid w:val="003F51CA"/>
    <w:rsid w:val="003F6064"/>
    <w:rsid w:val="00402A4C"/>
    <w:rsid w:val="0040431F"/>
    <w:rsid w:val="00405C4A"/>
    <w:rsid w:val="00412742"/>
    <w:rsid w:val="004127C1"/>
    <w:rsid w:val="00413B4A"/>
    <w:rsid w:val="004150E6"/>
    <w:rsid w:val="004304BD"/>
    <w:rsid w:val="00440285"/>
    <w:rsid w:val="00446514"/>
    <w:rsid w:val="004474A2"/>
    <w:rsid w:val="00447CE1"/>
    <w:rsid w:val="004568F1"/>
    <w:rsid w:val="00457BB2"/>
    <w:rsid w:val="00460265"/>
    <w:rsid w:val="00460B77"/>
    <w:rsid w:val="004611E8"/>
    <w:rsid w:val="0046194B"/>
    <w:rsid w:val="004641CC"/>
    <w:rsid w:val="004654DA"/>
    <w:rsid w:val="00466A46"/>
    <w:rsid w:val="004719BE"/>
    <w:rsid w:val="00471DDE"/>
    <w:rsid w:val="00474547"/>
    <w:rsid w:val="00475A0A"/>
    <w:rsid w:val="00475E5C"/>
    <w:rsid w:val="00476B93"/>
    <w:rsid w:val="00477205"/>
    <w:rsid w:val="00477D59"/>
    <w:rsid w:val="004814CF"/>
    <w:rsid w:val="00483EA7"/>
    <w:rsid w:val="00484A05"/>
    <w:rsid w:val="00494786"/>
    <w:rsid w:val="00494DD7"/>
    <w:rsid w:val="0049789C"/>
    <w:rsid w:val="00497F1B"/>
    <w:rsid w:val="004A0AAA"/>
    <w:rsid w:val="004A1918"/>
    <w:rsid w:val="004A2A87"/>
    <w:rsid w:val="004A2C1E"/>
    <w:rsid w:val="004A501E"/>
    <w:rsid w:val="004B015B"/>
    <w:rsid w:val="004B08F0"/>
    <w:rsid w:val="004B1D8A"/>
    <w:rsid w:val="004B2473"/>
    <w:rsid w:val="004B29D8"/>
    <w:rsid w:val="004C12D8"/>
    <w:rsid w:val="004C4066"/>
    <w:rsid w:val="004C4D33"/>
    <w:rsid w:val="004C64DA"/>
    <w:rsid w:val="004D2C1F"/>
    <w:rsid w:val="004D2CB8"/>
    <w:rsid w:val="004D376D"/>
    <w:rsid w:val="004D5179"/>
    <w:rsid w:val="004D5642"/>
    <w:rsid w:val="004D6147"/>
    <w:rsid w:val="004D75DB"/>
    <w:rsid w:val="004E0247"/>
    <w:rsid w:val="004E0999"/>
    <w:rsid w:val="004E275D"/>
    <w:rsid w:val="004E3083"/>
    <w:rsid w:val="004F1753"/>
    <w:rsid w:val="004F1DF6"/>
    <w:rsid w:val="004F6553"/>
    <w:rsid w:val="004F73D1"/>
    <w:rsid w:val="00503465"/>
    <w:rsid w:val="005058E6"/>
    <w:rsid w:val="00506853"/>
    <w:rsid w:val="005110E0"/>
    <w:rsid w:val="00511D9D"/>
    <w:rsid w:val="005133DF"/>
    <w:rsid w:val="00513772"/>
    <w:rsid w:val="005171DD"/>
    <w:rsid w:val="0051788A"/>
    <w:rsid w:val="00517C5B"/>
    <w:rsid w:val="005230E2"/>
    <w:rsid w:val="00524063"/>
    <w:rsid w:val="00525D21"/>
    <w:rsid w:val="005268DD"/>
    <w:rsid w:val="00531AEC"/>
    <w:rsid w:val="00533D8F"/>
    <w:rsid w:val="00535881"/>
    <w:rsid w:val="00535F13"/>
    <w:rsid w:val="00536757"/>
    <w:rsid w:val="00537427"/>
    <w:rsid w:val="00540CDF"/>
    <w:rsid w:val="005417D0"/>
    <w:rsid w:val="00551D59"/>
    <w:rsid w:val="00553544"/>
    <w:rsid w:val="0056120F"/>
    <w:rsid w:val="00572515"/>
    <w:rsid w:val="0057466C"/>
    <w:rsid w:val="00574F8C"/>
    <w:rsid w:val="00576975"/>
    <w:rsid w:val="0058001F"/>
    <w:rsid w:val="00581D10"/>
    <w:rsid w:val="005822C3"/>
    <w:rsid w:val="00585068"/>
    <w:rsid w:val="00585D0C"/>
    <w:rsid w:val="00585D15"/>
    <w:rsid w:val="005920D4"/>
    <w:rsid w:val="00592924"/>
    <w:rsid w:val="005A1DB9"/>
    <w:rsid w:val="005A397D"/>
    <w:rsid w:val="005A5683"/>
    <w:rsid w:val="005A7A45"/>
    <w:rsid w:val="005B02C7"/>
    <w:rsid w:val="005B0BAC"/>
    <w:rsid w:val="005B10A7"/>
    <w:rsid w:val="005B6845"/>
    <w:rsid w:val="005C0566"/>
    <w:rsid w:val="005C0635"/>
    <w:rsid w:val="005C084B"/>
    <w:rsid w:val="005C17FD"/>
    <w:rsid w:val="005C261E"/>
    <w:rsid w:val="005C5ABF"/>
    <w:rsid w:val="005D0502"/>
    <w:rsid w:val="005D09A6"/>
    <w:rsid w:val="005D2F58"/>
    <w:rsid w:val="005D3817"/>
    <w:rsid w:val="005D7CA1"/>
    <w:rsid w:val="005E01F9"/>
    <w:rsid w:val="005E11EA"/>
    <w:rsid w:val="005E18E5"/>
    <w:rsid w:val="005E1CD5"/>
    <w:rsid w:val="005E1FB8"/>
    <w:rsid w:val="005F14FF"/>
    <w:rsid w:val="005F29EE"/>
    <w:rsid w:val="005F3617"/>
    <w:rsid w:val="005F3912"/>
    <w:rsid w:val="005F50E2"/>
    <w:rsid w:val="005F6567"/>
    <w:rsid w:val="005F744A"/>
    <w:rsid w:val="005F75FA"/>
    <w:rsid w:val="006002FA"/>
    <w:rsid w:val="00600E20"/>
    <w:rsid w:val="00601ABC"/>
    <w:rsid w:val="006030AD"/>
    <w:rsid w:val="00606D44"/>
    <w:rsid w:val="006078C4"/>
    <w:rsid w:val="00611281"/>
    <w:rsid w:val="006145F1"/>
    <w:rsid w:val="00614830"/>
    <w:rsid w:val="0061614F"/>
    <w:rsid w:val="0062016E"/>
    <w:rsid w:val="006204DC"/>
    <w:rsid w:val="006209C9"/>
    <w:rsid w:val="00622065"/>
    <w:rsid w:val="006346D5"/>
    <w:rsid w:val="006353B4"/>
    <w:rsid w:val="0063697F"/>
    <w:rsid w:val="00636D3C"/>
    <w:rsid w:val="00637CF0"/>
    <w:rsid w:val="00640445"/>
    <w:rsid w:val="006420C1"/>
    <w:rsid w:val="00642E0D"/>
    <w:rsid w:val="00644849"/>
    <w:rsid w:val="00644A43"/>
    <w:rsid w:val="00645F45"/>
    <w:rsid w:val="00650B9C"/>
    <w:rsid w:val="006542B8"/>
    <w:rsid w:val="00673953"/>
    <w:rsid w:val="00677192"/>
    <w:rsid w:val="00677D5C"/>
    <w:rsid w:val="00683396"/>
    <w:rsid w:val="00686E7F"/>
    <w:rsid w:val="006908C1"/>
    <w:rsid w:val="006913EF"/>
    <w:rsid w:val="00691436"/>
    <w:rsid w:val="00691D56"/>
    <w:rsid w:val="00693071"/>
    <w:rsid w:val="006953B7"/>
    <w:rsid w:val="00695426"/>
    <w:rsid w:val="006959E7"/>
    <w:rsid w:val="006A13F3"/>
    <w:rsid w:val="006A4545"/>
    <w:rsid w:val="006A5588"/>
    <w:rsid w:val="006B1B34"/>
    <w:rsid w:val="006B3CCD"/>
    <w:rsid w:val="006B5A99"/>
    <w:rsid w:val="006C178A"/>
    <w:rsid w:val="006C5B6A"/>
    <w:rsid w:val="006D0161"/>
    <w:rsid w:val="006D2029"/>
    <w:rsid w:val="006E28C9"/>
    <w:rsid w:val="006E2FE6"/>
    <w:rsid w:val="006E3945"/>
    <w:rsid w:val="006E45D4"/>
    <w:rsid w:val="006E52AC"/>
    <w:rsid w:val="006E5C2E"/>
    <w:rsid w:val="006E6920"/>
    <w:rsid w:val="006F0707"/>
    <w:rsid w:val="006F0F25"/>
    <w:rsid w:val="006F10F7"/>
    <w:rsid w:val="006F55FE"/>
    <w:rsid w:val="006F7167"/>
    <w:rsid w:val="006F7628"/>
    <w:rsid w:val="0070329E"/>
    <w:rsid w:val="00703B68"/>
    <w:rsid w:val="00710C70"/>
    <w:rsid w:val="00714084"/>
    <w:rsid w:val="007152DD"/>
    <w:rsid w:val="007200FA"/>
    <w:rsid w:val="00721B57"/>
    <w:rsid w:val="00724499"/>
    <w:rsid w:val="00725AD9"/>
    <w:rsid w:val="0072748B"/>
    <w:rsid w:val="00730A07"/>
    <w:rsid w:val="00731733"/>
    <w:rsid w:val="00732D84"/>
    <w:rsid w:val="00733CBE"/>
    <w:rsid w:val="00735385"/>
    <w:rsid w:val="00736848"/>
    <w:rsid w:val="007403A3"/>
    <w:rsid w:val="00742C7E"/>
    <w:rsid w:val="007459B9"/>
    <w:rsid w:val="00745DF6"/>
    <w:rsid w:val="00750142"/>
    <w:rsid w:val="00751328"/>
    <w:rsid w:val="0075168D"/>
    <w:rsid w:val="0075349A"/>
    <w:rsid w:val="00756120"/>
    <w:rsid w:val="00756F96"/>
    <w:rsid w:val="00757BA6"/>
    <w:rsid w:val="00760A94"/>
    <w:rsid w:val="0076177C"/>
    <w:rsid w:val="00766266"/>
    <w:rsid w:val="00767ACF"/>
    <w:rsid w:val="00774035"/>
    <w:rsid w:val="00776787"/>
    <w:rsid w:val="00777373"/>
    <w:rsid w:val="007853EA"/>
    <w:rsid w:val="00786417"/>
    <w:rsid w:val="00787EF5"/>
    <w:rsid w:val="007907A5"/>
    <w:rsid w:val="00792FDE"/>
    <w:rsid w:val="00794014"/>
    <w:rsid w:val="007945E2"/>
    <w:rsid w:val="00796447"/>
    <w:rsid w:val="00797763"/>
    <w:rsid w:val="007A2B49"/>
    <w:rsid w:val="007A5E39"/>
    <w:rsid w:val="007A7063"/>
    <w:rsid w:val="007B41F8"/>
    <w:rsid w:val="007B7F72"/>
    <w:rsid w:val="007C0376"/>
    <w:rsid w:val="007C49CC"/>
    <w:rsid w:val="007D319E"/>
    <w:rsid w:val="007D3EC2"/>
    <w:rsid w:val="007D4F37"/>
    <w:rsid w:val="007D5E95"/>
    <w:rsid w:val="007D6C31"/>
    <w:rsid w:val="007D6FD9"/>
    <w:rsid w:val="007D706C"/>
    <w:rsid w:val="007D71E5"/>
    <w:rsid w:val="007E0DD6"/>
    <w:rsid w:val="007E1C04"/>
    <w:rsid w:val="007E2149"/>
    <w:rsid w:val="007E27EB"/>
    <w:rsid w:val="007E30D2"/>
    <w:rsid w:val="007E35E7"/>
    <w:rsid w:val="007E3FEF"/>
    <w:rsid w:val="007E4303"/>
    <w:rsid w:val="007E5E3B"/>
    <w:rsid w:val="007E61A7"/>
    <w:rsid w:val="007E7937"/>
    <w:rsid w:val="007F3194"/>
    <w:rsid w:val="007F3B39"/>
    <w:rsid w:val="007F570E"/>
    <w:rsid w:val="007F7443"/>
    <w:rsid w:val="00800AB8"/>
    <w:rsid w:val="00800F77"/>
    <w:rsid w:val="00801047"/>
    <w:rsid w:val="00803D26"/>
    <w:rsid w:val="008047C1"/>
    <w:rsid w:val="00804D51"/>
    <w:rsid w:val="00804D54"/>
    <w:rsid w:val="00807E66"/>
    <w:rsid w:val="00810323"/>
    <w:rsid w:val="00812C22"/>
    <w:rsid w:val="008161E5"/>
    <w:rsid w:val="00822A1C"/>
    <w:rsid w:val="00823078"/>
    <w:rsid w:val="00823F59"/>
    <w:rsid w:val="0082578D"/>
    <w:rsid w:val="00827300"/>
    <w:rsid w:val="008301A3"/>
    <w:rsid w:val="00833AC2"/>
    <w:rsid w:val="008350F2"/>
    <w:rsid w:val="00837C4D"/>
    <w:rsid w:val="008405D6"/>
    <w:rsid w:val="00845F81"/>
    <w:rsid w:val="00851515"/>
    <w:rsid w:val="008548F2"/>
    <w:rsid w:val="008558B7"/>
    <w:rsid w:val="00857098"/>
    <w:rsid w:val="00862C11"/>
    <w:rsid w:val="008632D5"/>
    <w:rsid w:val="008632F8"/>
    <w:rsid w:val="0086418C"/>
    <w:rsid w:val="00870A2F"/>
    <w:rsid w:val="00871508"/>
    <w:rsid w:val="00871560"/>
    <w:rsid w:val="00873321"/>
    <w:rsid w:val="0087351C"/>
    <w:rsid w:val="00874226"/>
    <w:rsid w:val="0087612B"/>
    <w:rsid w:val="008764FC"/>
    <w:rsid w:val="008779DC"/>
    <w:rsid w:val="00880882"/>
    <w:rsid w:val="00881F14"/>
    <w:rsid w:val="008832A3"/>
    <w:rsid w:val="00886476"/>
    <w:rsid w:val="00886533"/>
    <w:rsid w:val="00886853"/>
    <w:rsid w:val="0088695E"/>
    <w:rsid w:val="00891072"/>
    <w:rsid w:val="00893998"/>
    <w:rsid w:val="008A106C"/>
    <w:rsid w:val="008A2C34"/>
    <w:rsid w:val="008A58CA"/>
    <w:rsid w:val="008A71CD"/>
    <w:rsid w:val="008B0304"/>
    <w:rsid w:val="008B2B18"/>
    <w:rsid w:val="008B418F"/>
    <w:rsid w:val="008C0314"/>
    <w:rsid w:val="008C4F3C"/>
    <w:rsid w:val="008C7637"/>
    <w:rsid w:val="008C7B2C"/>
    <w:rsid w:val="008D01D1"/>
    <w:rsid w:val="008D49BB"/>
    <w:rsid w:val="008D5571"/>
    <w:rsid w:val="008D5ED3"/>
    <w:rsid w:val="008D75FB"/>
    <w:rsid w:val="008D7DA6"/>
    <w:rsid w:val="008E13EB"/>
    <w:rsid w:val="008E602F"/>
    <w:rsid w:val="008E6681"/>
    <w:rsid w:val="008E7187"/>
    <w:rsid w:val="008F0192"/>
    <w:rsid w:val="008F1A2E"/>
    <w:rsid w:val="008F1CDA"/>
    <w:rsid w:val="008F5A88"/>
    <w:rsid w:val="00901418"/>
    <w:rsid w:val="0090452C"/>
    <w:rsid w:val="00904D0B"/>
    <w:rsid w:val="00905B49"/>
    <w:rsid w:val="00911EB6"/>
    <w:rsid w:val="009128A9"/>
    <w:rsid w:val="00913DAC"/>
    <w:rsid w:val="009144E1"/>
    <w:rsid w:val="00914D3B"/>
    <w:rsid w:val="009208B6"/>
    <w:rsid w:val="00921E72"/>
    <w:rsid w:val="00923E94"/>
    <w:rsid w:val="00926B9B"/>
    <w:rsid w:val="00926BC9"/>
    <w:rsid w:val="009322AC"/>
    <w:rsid w:val="00945AD8"/>
    <w:rsid w:val="009565D4"/>
    <w:rsid w:val="009569AE"/>
    <w:rsid w:val="00957E6B"/>
    <w:rsid w:val="00964A62"/>
    <w:rsid w:val="009713E9"/>
    <w:rsid w:val="009714DD"/>
    <w:rsid w:val="00971904"/>
    <w:rsid w:val="0097476D"/>
    <w:rsid w:val="00977828"/>
    <w:rsid w:val="00977E02"/>
    <w:rsid w:val="00982CC6"/>
    <w:rsid w:val="00985B44"/>
    <w:rsid w:val="0099255D"/>
    <w:rsid w:val="009946D5"/>
    <w:rsid w:val="00995125"/>
    <w:rsid w:val="009A5C34"/>
    <w:rsid w:val="009A6442"/>
    <w:rsid w:val="009A665E"/>
    <w:rsid w:val="009B4A37"/>
    <w:rsid w:val="009B644D"/>
    <w:rsid w:val="009B659F"/>
    <w:rsid w:val="009B719E"/>
    <w:rsid w:val="009B736B"/>
    <w:rsid w:val="009C2120"/>
    <w:rsid w:val="009C2DF9"/>
    <w:rsid w:val="009C52FE"/>
    <w:rsid w:val="009C57AB"/>
    <w:rsid w:val="009C63FA"/>
    <w:rsid w:val="009C7E83"/>
    <w:rsid w:val="009D07BD"/>
    <w:rsid w:val="009D3D79"/>
    <w:rsid w:val="009D4459"/>
    <w:rsid w:val="009D4CF2"/>
    <w:rsid w:val="009D64B8"/>
    <w:rsid w:val="009E0996"/>
    <w:rsid w:val="009F041A"/>
    <w:rsid w:val="009F5B47"/>
    <w:rsid w:val="009F61D5"/>
    <w:rsid w:val="009F72B1"/>
    <w:rsid w:val="00A0272D"/>
    <w:rsid w:val="00A03722"/>
    <w:rsid w:val="00A070AB"/>
    <w:rsid w:val="00A079AB"/>
    <w:rsid w:val="00A07FB8"/>
    <w:rsid w:val="00A1001C"/>
    <w:rsid w:val="00A126F6"/>
    <w:rsid w:val="00A16710"/>
    <w:rsid w:val="00A24FF4"/>
    <w:rsid w:val="00A25114"/>
    <w:rsid w:val="00A3058E"/>
    <w:rsid w:val="00A32C1A"/>
    <w:rsid w:val="00A34CCA"/>
    <w:rsid w:val="00A3617F"/>
    <w:rsid w:val="00A40F1F"/>
    <w:rsid w:val="00A411F5"/>
    <w:rsid w:val="00A41F3E"/>
    <w:rsid w:val="00A4334C"/>
    <w:rsid w:val="00A43360"/>
    <w:rsid w:val="00A4453F"/>
    <w:rsid w:val="00A44578"/>
    <w:rsid w:val="00A45520"/>
    <w:rsid w:val="00A50727"/>
    <w:rsid w:val="00A53C36"/>
    <w:rsid w:val="00A544BF"/>
    <w:rsid w:val="00A55DB4"/>
    <w:rsid w:val="00A55FA6"/>
    <w:rsid w:val="00A56D88"/>
    <w:rsid w:val="00A579AA"/>
    <w:rsid w:val="00A62BD1"/>
    <w:rsid w:val="00A65EBB"/>
    <w:rsid w:val="00A66D98"/>
    <w:rsid w:val="00A67999"/>
    <w:rsid w:val="00A67D15"/>
    <w:rsid w:val="00A70407"/>
    <w:rsid w:val="00A708F8"/>
    <w:rsid w:val="00A70F51"/>
    <w:rsid w:val="00A85D8F"/>
    <w:rsid w:val="00A90174"/>
    <w:rsid w:val="00A92030"/>
    <w:rsid w:val="00A96A26"/>
    <w:rsid w:val="00A9712E"/>
    <w:rsid w:val="00A97F99"/>
    <w:rsid w:val="00AA2236"/>
    <w:rsid w:val="00AA292E"/>
    <w:rsid w:val="00AA6CBE"/>
    <w:rsid w:val="00AA772A"/>
    <w:rsid w:val="00AB226E"/>
    <w:rsid w:val="00AB2B36"/>
    <w:rsid w:val="00AB43B3"/>
    <w:rsid w:val="00AB7720"/>
    <w:rsid w:val="00AB7CEC"/>
    <w:rsid w:val="00AC0106"/>
    <w:rsid w:val="00AC0235"/>
    <w:rsid w:val="00AC13AE"/>
    <w:rsid w:val="00AC49C0"/>
    <w:rsid w:val="00AD1184"/>
    <w:rsid w:val="00AD419F"/>
    <w:rsid w:val="00AD6A34"/>
    <w:rsid w:val="00AE364A"/>
    <w:rsid w:val="00AE3BBA"/>
    <w:rsid w:val="00AE5566"/>
    <w:rsid w:val="00B015F4"/>
    <w:rsid w:val="00B03795"/>
    <w:rsid w:val="00B1117E"/>
    <w:rsid w:val="00B1243D"/>
    <w:rsid w:val="00B1288A"/>
    <w:rsid w:val="00B138CF"/>
    <w:rsid w:val="00B14C0D"/>
    <w:rsid w:val="00B15904"/>
    <w:rsid w:val="00B15DED"/>
    <w:rsid w:val="00B215B0"/>
    <w:rsid w:val="00B21B3F"/>
    <w:rsid w:val="00B24418"/>
    <w:rsid w:val="00B2628C"/>
    <w:rsid w:val="00B26775"/>
    <w:rsid w:val="00B30F0B"/>
    <w:rsid w:val="00B31332"/>
    <w:rsid w:val="00B46F18"/>
    <w:rsid w:val="00B476EB"/>
    <w:rsid w:val="00B5168F"/>
    <w:rsid w:val="00B51AE2"/>
    <w:rsid w:val="00B575D2"/>
    <w:rsid w:val="00B60BFF"/>
    <w:rsid w:val="00B633F9"/>
    <w:rsid w:val="00B63A7C"/>
    <w:rsid w:val="00B63CB6"/>
    <w:rsid w:val="00B662BD"/>
    <w:rsid w:val="00B668EB"/>
    <w:rsid w:val="00B70746"/>
    <w:rsid w:val="00B72F95"/>
    <w:rsid w:val="00B74F8D"/>
    <w:rsid w:val="00B76D06"/>
    <w:rsid w:val="00B82754"/>
    <w:rsid w:val="00B84D51"/>
    <w:rsid w:val="00B90867"/>
    <w:rsid w:val="00B916E4"/>
    <w:rsid w:val="00B9268A"/>
    <w:rsid w:val="00BA3002"/>
    <w:rsid w:val="00BA4F5B"/>
    <w:rsid w:val="00BA5D1A"/>
    <w:rsid w:val="00BA6E03"/>
    <w:rsid w:val="00BB29E9"/>
    <w:rsid w:val="00BB5713"/>
    <w:rsid w:val="00BB5B74"/>
    <w:rsid w:val="00BB65BA"/>
    <w:rsid w:val="00BB6EB3"/>
    <w:rsid w:val="00BB71CC"/>
    <w:rsid w:val="00BC01AD"/>
    <w:rsid w:val="00BC0577"/>
    <w:rsid w:val="00BC0FC6"/>
    <w:rsid w:val="00BC15FD"/>
    <w:rsid w:val="00BC2448"/>
    <w:rsid w:val="00BC3E37"/>
    <w:rsid w:val="00BC3EBD"/>
    <w:rsid w:val="00BD0819"/>
    <w:rsid w:val="00BE3877"/>
    <w:rsid w:val="00BE48ED"/>
    <w:rsid w:val="00BE7BE7"/>
    <w:rsid w:val="00BE7D5B"/>
    <w:rsid w:val="00BF1984"/>
    <w:rsid w:val="00BF1CB5"/>
    <w:rsid w:val="00BF4AD6"/>
    <w:rsid w:val="00BF7224"/>
    <w:rsid w:val="00BF72D5"/>
    <w:rsid w:val="00C04C3A"/>
    <w:rsid w:val="00C05195"/>
    <w:rsid w:val="00C07A1B"/>
    <w:rsid w:val="00C1014F"/>
    <w:rsid w:val="00C10292"/>
    <w:rsid w:val="00C10452"/>
    <w:rsid w:val="00C13C51"/>
    <w:rsid w:val="00C176BA"/>
    <w:rsid w:val="00C2146F"/>
    <w:rsid w:val="00C21DFB"/>
    <w:rsid w:val="00C223E8"/>
    <w:rsid w:val="00C22C0F"/>
    <w:rsid w:val="00C22F6A"/>
    <w:rsid w:val="00C31834"/>
    <w:rsid w:val="00C348DC"/>
    <w:rsid w:val="00C35099"/>
    <w:rsid w:val="00C361E4"/>
    <w:rsid w:val="00C36556"/>
    <w:rsid w:val="00C365FE"/>
    <w:rsid w:val="00C36766"/>
    <w:rsid w:val="00C4411F"/>
    <w:rsid w:val="00C446B7"/>
    <w:rsid w:val="00C44B51"/>
    <w:rsid w:val="00C44E1C"/>
    <w:rsid w:val="00C45A6C"/>
    <w:rsid w:val="00C46CAB"/>
    <w:rsid w:val="00C50326"/>
    <w:rsid w:val="00C5653C"/>
    <w:rsid w:val="00C60050"/>
    <w:rsid w:val="00C616C7"/>
    <w:rsid w:val="00C61FE5"/>
    <w:rsid w:val="00C620E4"/>
    <w:rsid w:val="00C66F91"/>
    <w:rsid w:val="00C7210D"/>
    <w:rsid w:val="00C75EF3"/>
    <w:rsid w:val="00C76D72"/>
    <w:rsid w:val="00C81731"/>
    <w:rsid w:val="00C82C11"/>
    <w:rsid w:val="00C8372D"/>
    <w:rsid w:val="00C85A6F"/>
    <w:rsid w:val="00C90207"/>
    <w:rsid w:val="00C9231C"/>
    <w:rsid w:val="00C956DF"/>
    <w:rsid w:val="00C9586A"/>
    <w:rsid w:val="00CA0962"/>
    <w:rsid w:val="00CA37CB"/>
    <w:rsid w:val="00CA507A"/>
    <w:rsid w:val="00CB0472"/>
    <w:rsid w:val="00CB07CF"/>
    <w:rsid w:val="00CB46DE"/>
    <w:rsid w:val="00CB6C78"/>
    <w:rsid w:val="00CB7F9C"/>
    <w:rsid w:val="00CC20DE"/>
    <w:rsid w:val="00CC2325"/>
    <w:rsid w:val="00CC25EF"/>
    <w:rsid w:val="00CC27A9"/>
    <w:rsid w:val="00CC5537"/>
    <w:rsid w:val="00CC664A"/>
    <w:rsid w:val="00CC6C7B"/>
    <w:rsid w:val="00CD4DB4"/>
    <w:rsid w:val="00CD513A"/>
    <w:rsid w:val="00CD6B42"/>
    <w:rsid w:val="00CD70BA"/>
    <w:rsid w:val="00CD72FD"/>
    <w:rsid w:val="00CD760D"/>
    <w:rsid w:val="00CD7B2E"/>
    <w:rsid w:val="00CE2583"/>
    <w:rsid w:val="00CE30E6"/>
    <w:rsid w:val="00CE3898"/>
    <w:rsid w:val="00CE6D01"/>
    <w:rsid w:val="00CE76B0"/>
    <w:rsid w:val="00CF2267"/>
    <w:rsid w:val="00CF33EB"/>
    <w:rsid w:val="00CF5CE8"/>
    <w:rsid w:val="00CF6115"/>
    <w:rsid w:val="00CF7093"/>
    <w:rsid w:val="00CF7275"/>
    <w:rsid w:val="00D01D5E"/>
    <w:rsid w:val="00D134F6"/>
    <w:rsid w:val="00D205AF"/>
    <w:rsid w:val="00D2138F"/>
    <w:rsid w:val="00D21953"/>
    <w:rsid w:val="00D22EF8"/>
    <w:rsid w:val="00D2605B"/>
    <w:rsid w:val="00D27B8D"/>
    <w:rsid w:val="00D27FFA"/>
    <w:rsid w:val="00D31FC0"/>
    <w:rsid w:val="00D3208A"/>
    <w:rsid w:val="00D402CC"/>
    <w:rsid w:val="00D41179"/>
    <w:rsid w:val="00D463C8"/>
    <w:rsid w:val="00D538FA"/>
    <w:rsid w:val="00D60211"/>
    <w:rsid w:val="00D6081D"/>
    <w:rsid w:val="00D6134A"/>
    <w:rsid w:val="00D63A6B"/>
    <w:rsid w:val="00D654B2"/>
    <w:rsid w:val="00D66D51"/>
    <w:rsid w:val="00D66FC0"/>
    <w:rsid w:val="00D672FE"/>
    <w:rsid w:val="00D67964"/>
    <w:rsid w:val="00D67C29"/>
    <w:rsid w:val="00D70567"/>
    <w:rsid w:val="00D71708"/>
    <w:rsid w:val="00D72389"/>
    <w:rsid w:val="00D758ED"/>
    <w:rsid w:val="00D8231C"/>
    <w:rsid w:val="00D850D6"/>
    <w:rsid w:val="00D90490"/>
    <w:rsid w:val="00D94824"/>
    <w:rsid w:val="00DA0DB7"/>
    <w:rsid w:val="00DA3DDD"/>
    <w:rsid w:val="00DA449A"/>
    <w:rsid w:val="00DB409A"/>
    <w:rsid w:val="00DB48FE"/>
    <w:rsid w:val="00DC0AD2"/>
    <w:rsid w:val="00DC1714"/>
    <w:rsid w:val="00DC1E12"/>
    <w:rsid w:val="00DC429A"/>
    <w:rsid w:val="00DC6033"/>
    <w:rsid w:val="00DD0798"/>
    <w:rsid w:val="00DD3333"/>
    <w:rsid w:val="00DD3E01"/>
    <w:rsid w:val="00DD5265"/>
    <w:rsid w:val="00DD56B9"/>
    <w:rsid w:val="00DD60FC"/>
    <w:rsid w:val="00DE0849"/>
    <w:rsid w:val="00DE2324"/>
    <w:rsid w:val="00DE29AD"/>
    <w:rsid w:val="00DE3698"/>
    <w:rsid w:val="00DE6978"/>
    <w:rsid w:val="00DE6E2F"/>
    <w:rsid w:val="00DE7837"/>
    <w:rsid w:val="00DF4252"/>
    <w:rsid w:val="00DF634D"/>
    <w:rsid w:val="00DF727B"/>
    <w:rsid w:val="00E027EA"/>
    <w:rsid w:val="00E031B1"/>
    <w:rsid w:val="00E055E5"/>
    <w:rsid w:val="00E07E2E"/>
    <w:rsid w:val="00E07FCD"/>
    <w:rsid w:val="00E11510"/>
    <w:rsid w:val="00E15EA2"/>
    <w:rsid w:val="00E204DE"/>
    <w:rsid w:val="00E21094"/>
    <w:rsid w:val="00E227C3"/>
    <w:rsid w:val="00E235DC"/>
    <w:rsid w:val="00E32018"/>
    <w:rsid w:val="00E33FF3"/>
    <w:rsid w:val="00E3776E"/>
    <w:rsid w:val="00E459CC"/>
    <w:rsid w:val="00E46F6E"/>
    <w:rsid w:val="00E4793C"/>
    <w:rsid w:val="00E50409"/>
    <w:rsid w:val="00E52A0D"/>
    <w:rsid w:val="00E52D4D"/>
    <w:rsid w:val="00E5308D"/>
    <w:rsid w:val="00E539BE"/>
    <w:rsid w:val="00E547BA"/>
    <w:rsid w:val="00E54B39"/>
    <w:rsid w:val="00E609C9"/>
    <w:rsid w:val="00E63880"/>
    <w:rsid w:val="00E65D03"/>
    <w:rsid w:val="00E73547"/>
    <w:rsid w:val="00E75F8E"/>
    <w:rsid w:val="00E80CAF"/>
    <w:rsid w:val="00E8304F"/>
    <w:rsid w:val="00E8772A"/>
    <w:rsid w:val="00E90D21"/>
    <w:rsid w:val="00E910A5"/>
    <w:rsid w:val="00E94C75"/>
    <w:rsid w:val="00EA198A"/>
    <w:rsid w:val="00EA2450"/>
    <w:rsid w:val="00EA39B6"/>
    <w:rsid w:val="00EB0156"/>
    <w:rsid w:val="00EB17B7"/>
    <w:rsid w:val="00EB1A3F"/>
    <w:rsid w:val="00EB79EE"/>
    <w:rsid w:val="00EB7FB1"/>
    <w:rsid w:val="00EC1C61"/>
    <w:rsid w:val="00EC2A72"/>
    <w:rsid w:val="00ED0AEF"/>
    <w:rsid w:val="00ED46BC"/>
    <w:rsid w:val="00ED4F64"/>
    <w:rsid w:val="00ED6075"/>
    <w:rsid w:val="00ED7909"/>
    <w:rsid w:val="00EE1754"/>
    <w:rsid w:val="00EE3CAF"/>
    <w:rsid w:val="00EF13AF"/>
    <w:rsid w:val="00EF3549"/>
    <w:rsid w:val="00EF4AC4"/>
    <w:rsid w:val="00EF500D"/>
    <w:rsid w:val="00EF6E95"/>
    <w:rsid w:val="00F015D2"/>
    <w:rsid w:val="00F01FC5"/>
    <w:rsid w:val="00F0541E"/>
    <w:rsid w:val="00F06853"/>
    <w:rsid w:val="00F073B1"/>
    <w:rsid w:val="00F107BF"/>
    <w:rsid w:val="00F11CA4"/>
    <w:rsid w:val="00F16FCE"/>
    <w:rsid w:val="00F206A2"/>
    <w:rsid w:val="00F20E01"/>
    <w:rsid w:val="00F21AFC"/>
    <w:rsid w:val="00F21DA6"/>
    <w:rsid w:val="00F25C51"/>
    <w:rsid w:val="00F26E99"/>
    <w:rsid w:val="00F27252"/>
    <w:rsid w:val="00F30A24"/>
    <w:rsid w:val="00F30E07"/>
    <w:rsid w:val="00F32BD4"/>
    <w:rsid w:val="00F35F9B"/>
    <w:rsid w:val="00F3797A"/>
    <w:rsid w:val="00F40043"/>
    <w:rsid w:val="00F417B4"/>
    <w:rsid w:val="00F43D27"/>
    <w:rsid w:val="00F44397"/>
    <w:rsid w:val="00F50E0B"/>
    <w:rsid w:val="00F53354"/>
    <w:rsid w:val="00F560B7"/>
    <w:rsid w:val="00F57C53"/>
    <w:rsid w:val="00F62F3D"/>
    <w:rsid w:val="00F63138"/>
    <w:rsid w:val="00F717C0"/>
    <w:rsid w:val="00F72E1B"/>
    <w:rsid w:val="00F77FD6"/>
    <w:rsid w:val="00F811F4"/>
    <w:rsid w:val="00F8356A"/>
    <w:rsid w:val="00F83FED"/>
    <w:rsid w:val="00F8690E"/>
    <w:rsid w:val="00F86A22"/>
    <w:rsid w:val="00F87086"/>
    <w:rsid w:val="00F917D0"/>
    <w:rsid w:val="00F91D2A"/>
    <w:rsid w:val="00F95962"/>
    <w:rsid w:val="00FA19BA"/>
    <w:rsid w:val="00FA5169"/>
    <w:rsid w:val="00FB0458"/>
    <w:rsid w:val="00FC20DA"/>
    <w:rsid w:val="00FC27E5"/>
    <w:rsid w:val="00FC472A"/>
    <w:rsid w:val="00FC4B22"/>
    <w:rsid w:val="00FC64E5"/>
    <w:rsid w:val="00FC6D6C"/>
    <w:rsid w:val="00FD0EE1"/>
    <w:rsid w:val="00FD22D5"/>
    <w:rsid w:val="00FE0F68"/>
    <w:rsid w:val="00FE42FF"/>
    <w:rsid w:val="00FE5C71"/>
    <w:rsid w:val="00FE5E68"/>
    <w:rsid w:val="00FE639F"/>
    <w:rsid w:val="00FF2882"/>
    <w:rsid w:val="00FF2AB3"/>
    <w:rsid w:val="00FF79FC"/>
    <w:rsid w:val="0EA976B2"/>
    <w:rsid w:val="20631EE5"/>
    <w:rsid w:val="26461F60"/>
    <w:rsid w:val="2FC72635"/>
    <w:rsid w:val="382071DB"/>
    <w:rsid w:val="3FB40668"/>
    <w:rsid w:val="41FF2FD2"/>
    <w:rsid w:val="4B406569"/>
    <w:rsid w:val="4B6B7AA8"/>
    <w:rsid w:val="51F4558E"/>
    <w:rsid w:val="53FC0D5A"/>
    <w:rsid w:val="54D206D8"/>
    <w:rsid w:val="57CF111A"/>
    <w:rsid w:val="5D320C4A"/>
    <w:rsid w:val="68761B90"/>
    <w:rsid w:val="7D26104D"/>
    <w:rsid w:val="7E7227D1"/>
    <w:rsid w:val="7FF870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jc w:val="center"/>
      <w:outlineLvl w:val="0"/>
    </w:pPr>
    <w:rPr>
      <w:sz w:val="28"/>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Indent"/>
    <w:basedOn w:val="1"/>
    <w:link w:val="14"/>
    <w:qFormat/>
    <w:uiPriority w:val="99"/>
    <w:pPr>
      <w:spacing w:line="360" w:lineRule="auto"/>
      <w:ind w:firstLine="435"/>
    </w:pPr>
    <w:rPr>
      <w:rFonts w:ascii="宋体" w:hAnsi="宋体"/>
      <w:sz w:val="24"/>
    </w:rPr>
  </w:style>
  <w:style w:type="paragraph" w:styleId="5">
    <w:name w:val="Date"/>
    <w:basedOn w:val="1"/>
    <w:next w:val="1"/>
    <w:link w:val="15"/>
    <w:uiPriority w:val="99"/>
    <w:pPr>
      <w:ind w:left="100" w:leftChars="2500"/>
    </w:pPr>
    <w:rPr>
      <w:rFonts w:ascii="Arial Unicode MS" w:hAnsi="Arial Unicode MS" w:cs="Arial Unicode MS"/>
      <w:b/>
      <w:sz w:val="24"/>
    </w:rPr>
  </w:style>
  <w:style w:type="paragraph" w:styleId="6">
    <w:name w:val="Balloon Text"/>
    <w:basedOn w:val="1"/>
    <w:link w:val="19"/>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iPriority w:val="99"/>
    <w:rPr>
      <w:rFonts w:cs="Times New Roman"/>
      <w:sz w:val="21"/>
      <w:szCs w:val="21"/>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1 Char"/>
    <w:basedOn w:val="9"/>
    <w:link w:val="2"/>
    <w:qFormat/>
    <w:locked/>
    <w:uiPriority w:val="99"/>
    <w:rPr>
      <w:rFonts w:cs="Times New Roman"/>
      <w:b/>
      <w:bCs/>
      <w:kern w:val="44"/>
      <w:sz w:val="44"/>
      <w:szCs w:val="44"/>
    </w:rPr>
  </w:style>
  <w:style w:type="character" w:customStyle="1" w:styleId="14">
    <w:name w:val="正文文本缩进 Char"/>
    <w:basedOn w:val="9"/>
    <w:link w:val="4"/>
    <w:semiHidden/>
    <w:qFormat/>
    <w:locked/>
    <w:uiPriority w:val="99"/>
    <w:rPr>
      <w:rFonts w:cs="Times New Roman"/>
      <w:sz w:val="24"/>
      <w:szCs w:val="24"/>
    </w:rPr>
  </w:style>
  <w:style w:type="character" w:customStyle="1" w:styleId="15">
    <w:name w:val="日期 Char"/>
    <w:basedOn w:val="9"/>
    <w:link w:val="5"/>
    <w:semiHidden/>
    <w:qFormat/>
    <w:locked/>
    <w:uiPriority w:val="99"/>
    <w:rPr>
      <w:rFonts w:cs="Times New Roman"/>
      <w:sz w:val="24"/>
      <w:szCs w:val="24"/>
    </w:rPr>
  </w:style>
  <w:style w:type="character" w:customStyle="1" w:styleId="16">
    <w:name w:val="页脚 Char"/>
    <w:basedOn w:val="9"/>
    <w:link w:val="7"/>
    <w:locked/>
    <w:uiPriority w:val="99"/>
    <w:rPr>
      <w:rFonts w:cs="Times New Roman"/>
      <w:kern w:val="2"/>
      <w:sz w:val="18"/>
    </w:rPr>
  </w:style>
  <w:style w:type="character" w:customStyle="1" w:styleId="17">
    <w:name w:val="页眉 Char"/>
    <w:basedOn w:val="9"/>
    <w:link w:val="8"/>
    <w:locked/>
    <w:uiPriority w:val="99"/>
    <w:rPr>
      <w:rFonts w:cs="Times New Roman"/>
      <w:kern w:val="2"/>
      <w:sz w:val="18"/>
    </w:rPr>
  </w:style>
  <w:style w:type="character" w:customStyle="1" w:styleId="18">
    <w:name w:val="批注文字 Char"/>
    <w:basedOn w:val="9"/>
    <w:link w:val="3"/>
    <w:qFormat/>
    <w:locked/>
    <w:uiPriority w:val="99"/>
    <w:rPr>
      <w:rFonts w:cs="Times New Roman"/>
      <w:kern w:val="2"/>
      <w:sz w:val="24"/>
      <w:szCs w:val="24"/>
    </w:rPr>
  </w:style>
  <w:style w:type="character" w:customStyle="1" w:styleId="19">
    <w:name w:val="批注框文本 Char"/>
    <w:basedOn w:val="9"/>
    <w:link w:val="6"/>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 FUND</Company>
  <Pages>1</Pages>
  <Words>626</Words>
  <Characters>3574</Characters>
  <Lines>29</Lines>
  <Paragraphs>8</Paragraphs>
  <TotalTime>0</TotalTime>
  <ScaleCrop>false</ScaleCrop>
  <LinksUpToDate>false</LinksUpToDate>
  <CharactersWithSpaces>4192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2017-11-30T13:41:00Z</dcterms:created>
  <dc:creator>test</dc:creator>
  <cp:lastModifiedBy>celine</cp:lastModifiedBy>
  <cp:lastPrinted>2005-05-23T08:05:00Z</cp:lastPrinted>
  <dcterms:modified xsi:type="dcterms:W3CDTF">2018-01-23T02:08:32Z</dcterms:modified>
  <dc:title>委托协议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