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hanging="420" w:hangingChars="200"/>
        <w:rPr>
          <w:b/>
          <w:bCs/>
          <w:sz w:val="84"/>
        </w:rPr>
      </w:pPr>
      <w:bookmarkStart w:id="0" w:name="_Toc517781852"/>
      <w:r>
        <w:rPr>
          <w:rFonts w:hint="eastAsia" w:ascii="Symbol" w:hAnsi="Symbol" w:eastAsia="等线" w:cs="微软雅黑"/>
          <w:kern w:val="2"/>
          <w:sz w:val="21"/>
          <w:lang w:bidi="ar"/>
        </w:rPr>
        <w:fldChar w:fldCharType="begin"/>
      </w:r>
      <w:r>
        <w:instrText xml:space="preserve"> INCLUDEPICTURE "../Library/Containers/com.tencent.xinWeChat/Data/Library/Application Support/com.tencent.xinWeChat/2.0b4.0.9/36c527c9d4d62f78966e302232185597/Message/MessageTemp/74dfd6f62f7b9383ec6c1dbb0f9d80a2/File/" \* MERGEFORMAT \d </w:instrText>
      </w:r>
      <w:r>
        <w:rPr>
          <w:rFonts w:hint="eastAsia" w:ascii="Symbol" w:hAnsi="Symbol" w:eastAsia="等线" w:cs="微软雅黑"/>
          <w:kern w:val="2"/>
          <w:sz w:val="21"/>
          <w:lang w:bidi="ar"/>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Support/com.tencent.xinWeChat/2.0b4.0.9/36c527c9d4d62f78966e302232185597/Message/MessageTemp/74dfd6f62f7b9383ec6c1dbb0f9d80a2/File/" \* MERGEFORMAT </w:instrText>
      </w:r>
      <w:r>
        <w:rPr>
          <w:rFonts w:hint="eastAsia" w:ascii="Symbol" w:hAnsi="Symbol" w:eastAsia="等线" w:cs="微软雅黑"/>
          <w:kern w:val="2"/>
          <w:sz w:val="21"/>
        </w:rPr>
        <w:fldChar w:fldCharType="separate"/>
      </w:r>
      <w:r>
        <w:rPr>
          <w:rFonts w:ascii="Symbol" w:hAnsi="Symbol" w:eastAsia="等线" w:cs="微软雅黑"/>
          <w:kern w:val="2"/>
          <w:sz w:val="21"/>
        </w:rPr>
        <w:pict>
          <v:shape id="_x0000_i1025" o:spt="75" alt="IMG_256" type="#_x0000_t75" style="height:41.3pt;width:128.3pt;" filled="f" o:preferrelative="t" stroked="f" coordsize="21600,21600">
            <v:path/>
            <v:fill on="f" focussize="0,0"/>
            <v:stroke on="f" joinstyle="miter"/>
            <v:imagedata r:id="rId11" r:href="rId12" o:title=""/>
            <o:lock v:ext="edit" aspectratio="t"/>
            <w10:wrap type="none"/>
            <w10:anchorlock/>
          </v:shape>
        </w:pict>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lang w:bidi="ar"/>
        </w:rPr>
        <w:fldChar w:fldCharType="end"/>
      </w:r>
    </w:p>
    <w:p>
      <w:pPr>
        <w:pStyle w:val="17"/>
        <w:rPr>
          <w:rFonts w:ascii="宋体" w:hAnsi="宋体" w:eastAsia="宋体"/>
          <w:b/>
        </w:rPr>
      </w:pPr>
      <w:r>
        <w:rPr>
          <w:rFonts w:ascii="宋体" w:hAnsi="宋体" w:eastAsia="宋体"/>
          <w:b/>
        </w:rPr>
        <w:t xml:space="preserve"> </w:t>
      </w:r>
    </w:p>
    <w:p>
      <w:pPr>
        <w:jc w:val="center"/>
        <w:rPr>
          <w:b/>
          <w:bCs/>
          <w:sz w:val="44"/>
        </w:rPr>
      </w:pPr>
    </w:p>
    <w:p>
      <w:pPr>
        <w:jc w:val="center"/>
        <w:rPr>
          <w:b/>
          <w:bCs/>
          <w:sz w:val="84"/>
        </w:rPr>
      </w:pPr>
    </w:p>
    <w:p>
      <w:pPr>
        <w:jc w:val="center"/>
        <w:rPr>
          <w:b/>
          <w:bCs/>
          <w:sz w:val="84"/>
        </w:rPr>
      </w:pPr>
      <w:r>
        <w:rPr>
          <w:rFonts w:hint="eastAsia"/>
          <w:b/>
          <w:bCs/>
          <w:sz w:val="84"/>
        </w:rPr>
        <w:t>谈 判 文 件</w:t>
      </w:r>
    </w:p>
    <w:p>
      <w:pPr>
        <w:ind w:firstLine="1081" w:firstLineChars="300"/>
        <w:rPr>
          <w:b/>
          <w:bCs/>
          <w:sz w:val="36"/>
        </w:rPr>
      </w:pPr>
    </w:p>
    <w:p>
      <w:pPr>
        <w:ind w:firstLine="1081" w:firstLineChars="300"/>
        <w:rPr>
          <w:b/>
          <w:bCs/>
          <w:sz w:val="36"/>
        </w:rPr>
      </w:pPr>
    </w:p>
    <w:p>
      <w:pPr>
        <w:spacing w:line="200" w:lineRule="atLeast"/>
        <w:ind w:firstLine="901" w:firstLineChars="300"/>
        <w:rPr>
          <w:b/>
          <w:bCs/>
          <w:sz w:val="30"/>
          <w:szCs w:val="30"/>
        </w:rPr>
      </w:pPr>
      <w:r>
        <w:rPr>
          <w:rFonts w:hint="eastAsia"/>
          <w:b/>
          <w:bCs/>
          <w:sz w:val="30"/>
          <w:szCs w:val="30"/>
        </w:rPr>
        <w:t>项目名称：中英人寿保险有限公司个人营销渠道2022年度高峰会项目标包</w:t>
      </w:r>
      <w:r>
        <w:rPr>
          <w:b/>
          <w:bCs/>
          <w:sz w:val="30"/>
          <w:szCs w:val="30"/>
        </w:rPr>
        <w:t>2</w:t>
      </w:r>
      <w:r>
        <w:rPr>
          <w:rFonts w:hint="eastAsia"/>
          <w:b/>
          <w:bCs/>
          <w:sz w:val="30"/>
          <w:szCs w:val="30"/>
        </w:rPr>
        <w:t>-会务</w:t>
      </w:r>
    </w:p>
    <w:p>
      <w:pPr>
        <w:spacing w:line="200" w:lineRule="atLeast"/>
        <w:ind w:firstLine="901" w:firstLineChars="300"/>
        <w:rPr>
          <w:b/>
          <w:bCs/>
          <w:sz w:val="30"/>
          <w:szCs w:val="30"/>
        </w:rPr>
      </w:pPr>
      <w:r>
        <w:rPr>
          <w:rFonts w:hint="eastAsia"/>
          <w:b/>
          <w:bCs/>
          <w:sz w:val="30"/>
          <w:szCs w:val="30"/>
        </w:rPr>
        <w:t>项目编号：</w:t>
      </w:r>
      <w:r>
        <w:rPr>
          <w:b/>
          <w:bCs/>
          <w:sz w:val="30"/>
          <w:szCs w:val="30"/>
        </w:rPr>
        <w:t>0722-2023FE0251YYO</w:t>
      </w:r>
    </w:p>
    <w:p>
      <w:pPr>
        <w:spacing w:line="200" w:lineRule="atLeast"/>
        <w:ind w:firstLine="901" w:firstLineChars="300"/>
        <w:rPr>
          <w:b/>
          <w:bCs/>
          <w:sz w:val="30"/>
          <w:szCs w:val="30"/>
        </w:rPr>
      </w:pPr>
      <w:r>
        <w:rPr>
          <w:rFonts w:hint="eastAsia"/>
          <w:b/>
          <w:bCs/>
          <w:sz w:val="30"/>
          <w:szCs w:val="30"/>
        </w:rPr>
        <w:t>采 购 人：中英人寿保险有限公司</w:t>
      </w:r>
    </w:p>
    <w:p>
      <w:pPr>
        <w:spacing w:line="200" w:lineRule="atLeast"/>
        <w:ind w:firstLine="901" w:firstLineChars="300"/>
        <w:rPr>
          <w:b/>
          <w:bCs/>
          <w:sz w:val="32"/>
          <w:szCs w:val="32"/>
        </w:rPr>
      </w:pPr>
      <w:r>
        <w:rPr>
          <w:rFonts w:hint="eastAsia"/>
          <w:b/>
          <w:bCs/>
          <w:sz w:val="30"/>
          <w:szCs w:val="30"/>
        </w:rPr>
        <w:t>采购代理机构：中国远东国际招标有限公司</w:t>
      </w:r>
    </w:p>
    <w:p>
      <w:pPr>
        <w:pStyle w:val="2"/>
        <w:rPr>
          <w:color w:val="auto"/>
        </w:rPr>
      </w:pPr>
    </w:p>
    <w:p>
      <w:pPr>
        <w:pStyle w:val="3"/>
      </w:pPr>
    </w:p>
    <w:p>
      <w:pPr>
        <w:pStyle w:val="3"/>
      </w:pPr>
    </w:p>
    <w:p>
      <w:pPr>
        <w:spacing w:line="360" w:lineRule="exact"/>
        <w:jc w:val="center"/>
        <w:rPr>
          <w:b/>
          <w:sz w:val="30"/>
          <w:szCs w:val="30"/>
        </w:rPr>
        <w:sectPr>
          <w:footerReference r:id="rId5" w:type="first"/>
          <w:headerReference r:id="rId3" w:type="default"/>
          <w:footerReference r:id="rId4" w:type="default"/>
          <w:pgSz w:w="11906" w:h="16838"/>
          <w:pgMar w:top="1440" w:right="1800" w:bottom="1440" w:left="1800" w:header="851" w:footer="992" w:gutter="0"/>
          <w:pgNumType w:start="0"/>
          <w:cols w:space="720" w:num="1"/>
          <w:docGrid w:type="lines" w:linePitch="312" w:charSpace="0"/>
        </w:sectPr>
      </w:pPr>
      <w:r>
        <w:rPr>
          <w:rFonts w:hint="eastAsia"/>
          <w:b/>
          <w:bCs/>
          <w:sz w:val="30"/>
          <w:szCs w:val="30"/>
        </w:rPr>
        <w:t>二○二三年四月</w:t>
      </w:r>
    </w:p>
    <w:bookmarkEnd w:id="0"/>
    <w:p>
      <w:pPr>
        <w:spacing w:after="240" w:line="440" w:lineRule="exact"/>
        <w:jc w:val="center"/>
        <w:rPr>
          <w:b/>
          <w:bCs/>
          <w:sz w:val="40"/>
          <w:szCs w:val="18"/>
        </w:rPr>
      </w:pPr>
    </w:p>
    <w:p>
      <w:pPr>
        <w:spacing w:after="240" w:line="440" w:lineRule="exact"/>
        <w:jc w:val="center"/>
        <w:rPr>
          <w:b/>
          <w:bCs/>
          <w:sz w:val="40"/>
          <w:szCs w:val="18"/>
        </w:rPr>
      </w:pPr>
      <w:r>
        <w:rPr>
          <w:rFonts w:hint="eastAsia"/>
          <w:b/>
          <w:bCs/>
          <w:sz w:val="40"/>
          <w:szCs w:val="18"/>
        </w:rPr>
        <w:t>目</w:t>
      </w:r>
      <w:r>
        <w:rPr>
          <w:b/>
          <w:bCs/>
          <w:sz w:val="40"/>
          <w:szCs w:val="18"/>
        </w:rPr>
        <w:t xml:space="preserve">  </w:t>
      </w:r>
      <w:r>
        <w:rPr>
          <w:rFonts w:hint="eastAsia"/>
          <w:b/>
          <w:bCs/>
          <w:sz w:val="40"/>
          <w:szCs w:val="18"/>
        </w:rPr>
        <w:t>录</w:t>
      </w:r>
    </w:p>
    <w:p>
      <w:pPr>
        <w:pStyle w:val="130"/>
        <w:rPr>
          <w:rFonts w:ascii="宋体" w:hAnsi="宋体"/>
          <w:color w:val="auto"/>
        </w:rPr>
      </w:pPr>
    </w:p>
    <w:sdt>
      <w:sdtPr>
        <w:rPr>
          <w:sz w:val="21"/>
        </w:rPr>
        <w:id w:val="147456766"/>
        <w:docPartObj>
          <w:docPartGallery w:val="Table of Contents"/>
          <w:docPartUnique/>
        </w:docPartObj>
      </w:sdtPr>
      <w:sdtEndPr>
        <w:rPr>
          <w:sz w:val="24"/>
          <w:szCs w:val="44"/>
        </w:rPr>
      </w:sdtEndPr>
      <w:sdtContent>
        <w:p>
          <w:pPr>
            <w:jc w:val="center"/>
          </w:pPr>
        </w:p>
        <w:p>
          <w:pPr>
            <w:pStyle w:val="32"/>
            <w:tabs>
              <w:tab w:val="right" w:leader="dot" w:pos="8908"/>
            </w:tabs>
            <w:spacing w:line="360" w:lineRule="auto"/>
            <w:rPr>
              <w:rFonts w:ascii="宋体" w:hAnsi="宋体" w:cstheme="minorBidi"/>
              <w:sz w:val="28"/>
              <w:szCs w:val="28"/>
            </w:rPr>
          </w:pPr>
          <w:r>
            <w:rPr>
              <w:szCs w:val="44"/>
            </w:rPr>
            <w:fldChar w:fldCharType="begin"/>
          </w:r>
          <w:r>
            <w:rPr>
              <w:szCs w:val="44"/>
            </w:rPr>
            <w:instrText xml:space="preserve"> TOC \o "1-1" \h \z \u </w:instrText>
          </w:r>
          <w:r>
            <w:rPr>
              <w:szCs w:val="44"/>
            </w:rPr>
            <w:fldChar w:fldCharType="separate"/>
          </w:r>
          <w:r>
            <w:fldChar w:fldCharType="begin"/>
          </w:r>
          <w:r>
            <w:instrText xml:space="preserve"> HYPERLINK \l "_Toc79067224" </w:instrText>
          </w:r>
          <w:r>
            <w:fldChar w:fldCharType="separate"/>
          </w:r>
          <w:r>
            <w:rPr>
              <w:rStyle w:val="47"/>
              <w:rFonts w:ascii="宋体" w:hAnsi="宋体"/>
              <w:b/>
              <w:color w:val="auto"/>
              <w:sz w:val="28"/>
              <w:szCs w:val="28"/>
            </w:rPr>
            <w:t xml:space="preserve">第一部分  </w:t>
          </w:r>
          <w:r>
            <w:rPr>
              <w:rStyle w:val="47"/>
              <w:rFonts w:hint="eastAsia" w:ascii="宋体" w:hAnsi="宋体"/>
              <w:b/>
              <w:color w:val="auto"/>
              <w:sz w:val="28"/>
              <w:szCs w:val="28"/>
            </w:rPr>
            <w:t>谈判公告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_Toc79067224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"_Toc79067225" </w:instrText>
          </w:r>
          <w:r>
            <w:fldChar w:fldCharType="separate"/>
          </w:r>
          <w:r>
            <w:rPr>
              <w:rStyle w:val="47"/>
              <w:rFonts w:ascii="宋体" w:hAnsi="宋体"/>
              <w:b/>
              <w:color w:val="auto"/>
              <w:sz w:val="28"/>
              <w:szCs w:val="28"/>
            </w:rPr>
            <w:t>第二部分  供应商须知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_Toc79067225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"_Toc79067226" </w:instrText>
          </w:r>
          <w:r>
            <w:fldChar w:fldCharType="separate"/>
          </w:r>
          <w:r>
            <w:rPr>
              <w:rStyle w:val="47"/>
              <w:rFonts w:ascii="宋体" w:hAnsi="宋体"/>
              <w:b/>
              <w:color w:val="auto"/>
              <w:sz w:val="28"/>
              <w:szCs w:val="28"/>
            </w:rPr>
            <w:t>第三部分  评审办法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_Toc79067226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"_Toc79067227" </w:instrText>
          </w:r>
          <w:r>
            <w:fldChar w:fldCharType="separate"/>
          </w:r>
          <w:r>
            <w:rPr>
              <w:rStyle w:val="47"/>
              <w:rFonts w:ascii="宋体" w:hAnsi="宋体"/>
              <w:b/>
              <w:color w:val="auto"/>
              <w:sz w:val="28"/>
              <w:szCs w:val="28"/>
            </w:rPr>
            <w:t>第四部分  合同协议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_Toc79067227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"_Toc79067228" </w:instrText>
          </w:r>
          <w:r>
            <w:fldChar w:fldCharType="separate"/>
          </w:r>
          <w:r>
            <w:rPr>
              <w:rStyle w:val="47"/>
              <w:rFonts w:ascii="宋体" w:hAnsi="宋体"/>
              <w:b/>
              <w:color w:val="auto"/>
              <w:sz w:val="28"/>
              <w:szCs w:val="28"/>
            </w:rPr>
            <w:t xml:space="preserve">第五部分  </w:t>
          </w:r>
          <w:r>
            <w:rPr>
              <w:rStyle w:val="47"/>
              <w:rFonts w:hint="eastAsia" w:ascii="宋体" w:hAnsi="宋体"/>
              <w:b/>
              <w:color w:val="auto"/>
              <w:sz w:val="28"/>
              <w:szCs w:val="28"/>
            </w:rPr>
            <w:t>服务要求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_Toc79067228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"_Toc79067229" </w:instrText>
          </w:r>
          <w:r>
            <w:fldChar w:fldCharType="separate"/>
          </w:r>
          <w:r>
            <w:rPr>
              <w:rStyle w:val="47"/>
              <w:rFonts w:ascii="宋体" w:hAnsi="宋体"/>
              <w:b/>
              <w:color w:val="auto"/>
              <w:sz w:val="28"/>
              <w:szCs w:val="28"/>
            </w:rPr>
            <w:t>第六部分  响应文件格式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_Toc79067229 \h </w:instrText>
          </w:r>
          <w:r>
            <w:rPr>
              <w:rFonts w:ascii="宋体" w:hAnsi="宋体"/>
              <w:sz w:val="28"/>
              <w:szCs w:val="28"/>
            </w:rPr>
            <w:fldChar w:fldCharType="separate"/>
          </w:r>
          <w:r>
            <w:rPr>
              <w:rFonts w:ascii="宋体" w:hAnsi="宋体"/>
              <w:sz w:val="28"/>
              <w:szCs w:val="28"/>
            </w:rPr>
            <w:t>30</w:t>
          </w:r>
          <w:r>
            <w:rPr>
              <w:rFonts w:ascii="宋体" w:hAnsi="宋体"/>
              <w:sz w:val="28"/>
              <w:szCs w:val="28"/>
            </w:rPr>
            <w:fldChar w:fldCharType="end"/>
          </w:r>
          <w:r>
            <w:rPr>
              <w:rFonts w:ascii="宋体" w:hAnsi="宋体"/>
              <w:sz w:val="28"/>
              <w:szCs w:val="28"/>
            </w:rPr>
            <w:fldChar w:fldCharType="end"/>
          </w:r>
        </w:p>
        <w:p>
          <w:pPr>
            <w:rPr>
              <w:sz w:val="44"/>
              <w:szCs w:val="44"/>
            </w:rPr>
          </w:pPr>
          <w:r>
            <w:rPr>
              <w:szCs w:val="44"/>
            </w:rPr>
            <w:fldChar w:fldCharType="end"/>
          </w:r>
        </w:p>
      </w:sdtContent>
    </w:sdt>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pStyle w:val="36"/>
        <w:jc w:val="both"/>
        <w:outlineLvl w:val="9"/>
        <w:rPr>
          <w:rFonts w:ascii="宋体" w:hAnsi="宋体" w:eastAsia="宋体"/>
          <w:kern w:val="0"/>
        </w:rPr>
      </w:pPr>
      <w:bookmarkStart w:id="1" w:name="_Toc481863370"/>
      <w:r>
        <w:rPr>
          <w:rFonts w:hint="eastAsia" w:ascii="宋体" w:hAnsi="宋体" w:eastAsia="宋体"/>
          <w:kern w:val="0"/>
        </w:rPr>
        <w:t xml:space="preserve">                   </w:t>
      </w:r>
    </w:p>
    <w:p/>
    <w:p/>
    <w:p>
      <w:pPr>
        <w:rPr>
          <w:sz w:val="28"/>
          <w:szCs w:val="28"/>
        </w:rPr>
      </w:pPr>
      <w:r>
        <w:rPr>
          <w:sz w:val="28"/>
          <w:szCs w:val="28"/>
        </w:rPr>
        <w:t xml:space="preserve"> </w:t>
      </w:r>
    </w:p>
    <w:p>
      <w:pPr>
        <w:rPr>
          <w:rFonts w:cstheme="minorBidi"/>
          <w:b/>
          <w:kern w:val="2"/>
          <w:sz w:val="28"/>
          <w:szCs w:val="28"/>
        </w:rPr>
      </w:pPr>
      <w:bookmarkStart w:id="2" w:name="_Toc79067224"/>
      <w:bookmarkStart w:id="3" w:name="_Toc7615"/>
      <w:bookmarkStart w:id="4" w:name="_Toc18744"/>
      <w:bookmarkStart w:id="5" w:name="_Toc360107105"/>
      <w:bookmarkStart w:id="6" w:name="_Toc15956"/>
      <w:bookmarkStart w:id="7" w:name="_Toc31792"/>
      <w:r>
        <w:rPr>
          <w:b/>
          <w:sz w:val="28"/>
          <w:szCs w:val="28"/>
        </w:rPr>
        <w:br w:type="page"/>
      </w:r>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第一部分  谈判</w:t>
      </w:r>
      <w:bookmarkEnd w:id="2"/>
      <w:r>
        <w:rPr>
          <w:rFonts w:hint="eastAsia" w:hAnsi="宋体" w:eastAsia="宋体"/>
          <w:b/>
          <w:sz w:val="28"/>
          <w:szCs w:val="28"/>
        </w:rPr>
        <w:t>公告</w:t>
      </w:r>
    </w:p>
    <w:p>
      <w:pPr>
        <w:pStyle w:val="21"/>
        <w:tabs>
          <w:tab w:val="left" w:pos="2291"/>
        </w:tabs>
        <w:spacing w:before="79" w:line="540" w:lineRule="exact"/>
        <w:jc w:val="center"/>
        <w:outlineLvl w:val="0"/>
        <w:rPr>
          <w:rFonts w:hAnsi="宋体" w:eastAsia="宋体"/>
          <w:b/>
          <w:sz w:val="28"/>
          <w:szCs w:val="28"/>
        </w:rPr>
      </w:pPr>
    </w:p>
    <w:p>
      <w:pPr>
        <w:spacing w:after="156" w:afterLines="50" w:line="276" w:lineRule="auto"/>
        <w:ind w:firstLine="601" w:firstLineChars="250"/>
        <w:jc w:val="center"/>
        <w:rPr>
          <w:b/>
          <w:bCs/>
        </w:rPr>
      </w:pPr>
      <w:bookmarkStart w:id="8" w:name="_Hlk131342118"/>
      <w:r>
        <w:rPr>
          <w:rFonts w:hint="eastAsia"/>
          <w:b/>
          <w:bCs/>
        </w:rPr>
        <w:t>中英人寿保险有限公司个人营销渠道2022年度高峰会项目标包</w:t>
      </w:r>
      <w:r>
        <w:rPr>
          <w:b/>
          <w:bCs/>
        </w:rPr>
        <w:t>2</w:t>
      </w:r>
      <w:r>
        <w:rPr>
          <w:rFonts w:hint="eastAsia"/>
          <w:b/>
          <w:bCs/>
        </w:rPr>
        <w:t>-会务</w:t>
      </w:r>
    </w:p>
    <w:p>
      <w:pPr>
        <w:spacing w:after="156" w:afterLines="50" w:line="276" w:lineRule="auto"/>
        <w:ind w:firstLine="601" w:firstLineChars="250"/>
        <w:jc w:val="center"/>
        <w:rPr>
          <w:b/>
          <w:bCs/>
        </w:rPr>
      </w:pPr>
      <w:r>
        <w:rPr>
          <w:rFonts w:hint="eastAsia"/>
          <w:b/>
          <w:bCs/>
        </w:rPr>
        <w:t>竞争性谈判公告</w:t>
      </w:r>
    </w:p>
    <w:p>
      <w:pPr>
        <w:spacing w:after="156" w:afterLines="50" w:line="276" w:lineRule="auto"/>
        <w:ind w:firstLine="601" w:firstLineChars="250"/>
        <w:jc w:val="center"/>
        <w:rPr>
          <w:b/>
          <w:bCs/>
        </w:rPr>
      </w:pPr>
      <w:r>
        <w:rPr>
          <w:rFonts w:hint="eastAsia"/>
          <w:b/>
          <w:bCs/>
        </w:rPr>
        <w:t>（项目编号：</w:t>
      </w:r>
      <w:bookmarkStart w:id="9" w:name="_Hlk131410246"/>
      <w:r>
        <w:rPr>
          <w:b/>
          <w:bCs/>
        </w:rPr>
        <w:t>0722-2023FE0251YYO</w:t>
      </w:r>
      <w:bookmarkEnd w:id="9"/>
      <w:r>
        <w:rPr>
          <w:rFonts w:hint="eastAsia"/>
          <w:b/>
          <w:bCs/>
        </w:rPr>
        <w:t>）</w:t>
      </w:r>
    </w:p>
    <w:bookmarkEnd w:id="8"/>
    <w:p>
      <w:pPr>
        <w:pStyle w:val="5"/>
        <w:spacing w:line="540" w:lineRule="exact"/>
        <w:rPr>
          <w:rFonts w:ascii="宋体" w:hAnsi="宋体" w:cs="宋体"/>
          <w:sz w:val="24"/>
          <w:szCs w:val="24"/>
        </w:rPr>
      </w:pPr>
      <w:r>
        <w:rPr>
          <w:rFonts w:hint="eastAsia" w:ascii="宋体" w:hAnsi="宋体" w:cs="宋体"/>
          <w:sz w:val="24"/>
          <w:szCs w:val="24"/>
        </w:rPr>
        <w:t>1.项目条件</w:t>
      </w:r>
      <w:bookmarkEnd w:id="3"/>
      <w:bookmarkEnd w:id="4"/>
      <w:bookmarkEnd w:id="5"/>
      <w:bookmarkEnd w:id="6"/>
      <w:bookmarkEnd w:id="7"/>
    </w:p>
    <w:p>
      <w:pPr>
        <w:spacing w:after="156" w:afterLines="50" w:line="540" w:lineRule="exact"/>
        <w:ind w:firstLine="600" w:firstLineChars="250"/>
        <w:rPr>
          <w:u w:val="single"/>
        </w:rPr>
      </w:pPr>
      <w:bookmarkStart w:id="10" w:name="_Toc22625"/>
      <w:bookmarkStart w:id="11" w:name="_Toc26553"/>
      <w:bookmarkStart w:id="12" w:name="_Toc32608"/>
      <w:bookmarkStart w:id="13" w:name="_Toc30209"/>
      <w:bookmarkStart w:id="14" w:name="_Toc360107106"/>
      <w:r>
        <w:rPr>
          <w:rFonts w:hint="eastAsia"/>
        </w:rPr>
        <w:t>中国远东国际招标有限公司受中英人寿保险有限公司委托，就中英人寿保险有限公司个人营销渠道2022年度高峰会项目标包</w:t>
      </w:r>
      <w:r>
        <w:t>2</w:t>
      </w:r>
      <w:r>
        <w:rPr>
          <w:rFonts w:hint="eastAsia"/>
        </w:rPr>
        <w:t>-会务，拟以竞争性谈判方式完成项目的采购。</w:t>
      </w:r>
    </w:p>
    <w:p>
      <w:pPr>
        <w:pStyle w:val="5"/>
        <w:spacing w:line="540" w:lineRule="exact"/>
        <w:rPr>
          <w:rFonts w:ascii="宋体" w:hAnsi="宋体" w:cs="宋体"/>
          <w:sz w:val="24"/>
          <w:szCs w:val="24"/>
        </w:rPr>
      </w:pPr>
      <w:r>
        <w:rPr>
          <w:rFonts w:hint="eastAsia" w:ascii="宋体" w:hAnsi="宋体" w:cs="宋体"/>
          <w:sz w:val="24"/>
          <w:szCs w:val="24"/>
        </w:rPr>
        <w:t>2. 项目概况与谈判范围</w:t>
      </w:r>
      <w:bookmarkEnd w:id="10"/>
      <w:bookmarkEnd w:id="11"/>
      <w:bookmarkEnd w:id="12"/>
      <w:bookmarkEnd w:id="13"/>
      <w:bookmarkEnd w:id="14"/>
    </w:p>
    <w:p>
      <w:pPr>
        <w:spacing w:line="540" w:lineRule="exact"/>
        <w:ind w:firstLine="480" w:firstLineChars="200"/>
      </w:pPr>
      <w:r>
        <w:t>2.1项目概况：本项目已由中英人寿保险有限公司批准</w:t>
      </w:r>
      <w:r>
        <w:rPr>
          <w:rFonts w:hint="eastAsia"/>
        </w:rPr>
        <w:t>采购</w:t>
      </w:r>
      <w:r>
        <w:t>，资金来源为自筹，</w:t>
      </w:r>
      <w:r>
        <w:rPr>
          <w:rFonts w:hint="eastAsia"/>
        </w:rPr>
        <w:t>采购人</w:t>
      </w:r>
      <w:r>
        <w:t>为中英人寿保险有限公司。</w:t>
      </w:r>
    </w:p>
    <w:p>
      <w:pPr>
        <w:spacing w:line="540" w:lineRule="exact"/>
        <w:ind w:firstLine="480" w:firstLineChars="200"/>
      </w:pPr>
      <w:r>
        <w:t>2.2项目名称：</w:t>
      </w:r>
      <w:r>
        <w:rPr>
          <w:rFonts w:hint="eastAsia"/>
        </w:rPr>
        <w:t>中英人寿保险有限公司个人营销渠道2022年度高峰会项目标包</w:t>
      </w:r>
      <w:r>
        <w:t>2</w:t>
      </w:r>
      <w:r>
        <w:rPr>
          <w:rFonts w:hint="eastAsia"/>
        </w:rPr>
        <w:t>-会务</w:t>
      </w:r>
    </w:p>
    <w:p>
      <w:pPr>
        <w:pStyle w:val="2"/>
        <w:spacing w:line="360" w:lineRule="auto"/>
        <w:ind w:firstLine="480" w:firstLineChars="200"/>
        <w:rPr>
          <w:rFonts w:hAnsi="宋体"/>
          <w:color w:val="auto"/>
          <w:szCs w:val="21"/>
        </w:rPr>
      </w:pPr>
      <w:r>
        <w:rPr>
          <w:rFonts w:hAnsi="宋体"/>
          <w:color w:val="auto"/>
          <w:szCs w:val="21"/>
        </w:rPr>
        <w:t>2.3</w:t>
      </w:r>
      <w:r>
        <w:rPr>
          <w:rFonts w:hint="eastAsia" w:hAnsi="宋体"/>
          <w:color w:val="auto"/>
          <w:szCs w:val="21"/>
        </w:rPr>
        <w:t>谈判服务范围</w:t>
      </w:r>
      <w:r>
        <w:rPr>
          <w:rFonts w:hAnsi="宋体"/>
          <w:color w:val="auto"/>
          <w:szCs w:val="21"/>
        </w:rPr>
        <w:t>：</w:t>
      </w:r>
      <w:r>
        <w:rPr>
          <w:rFonts w:hint="eastAsia" w:hAnsi="宋体"/>
          <w:color w:val="auto"/>
          <w:szCs w:val="21"/>
        </w:rPr>
        <w:t>拟</w:t>
      </w:r>
      <w:r>
        <w:rPr>
          <w:rFonts w:hAnsi="宋体"/>
          <w:color w:val="auto"/>
          <w:szCs w:val="21"/>
        </w:rPr>
        <w:t>通过委托第三方</w:t>
      </w:r>
      <w:r>
        <w:rPr>
          <w:rFonts w:hint="eastAsia" w:hAnsi="宋体"/>
          <w:color w:val="auto"/>
          <w:szCs w:val="21"/>
        </w:rPr>
        <w:t>单位对中英人寿保险有限公司个人营销渠道2022年度高峰会项目标包</w:t>
      </w:r>
      <w:r>
        <w:rPr>
          <w:rFonts w:hAnsi="宋体"/>
          <w:color w:val="auto"/>
          <w:szCs w:val="21"/>
        </w:rPr>
        <w:t>2</w:t>
      </w:r>
      <w:r>
        <w:rPr>
          <w:rFonts w:hint="eastAsia" w:hAnsi="宋体"/>
          <w:color w:val="auto"/>
          <w:szCs w:val="21"/>
        </w:rPr>
        <w:t>-会务中</w:t>
      </w:r>
      <w:r>
        <w:rPr>
          <w:rFonts w:hAnsi="宋体"/>
          <w:color w:val="auto"/>
          <w:szCs w:val="21"/>
        </w:rPr>
        <w:t>颁奖典礼现场流程设计</w:t>
      </w:r>
      <w:r>
        <w:rPr>
          <w:rFonts w:hint="eastAsia" w:hAnsi="宋体"/>
          <w:color w:val="auto"/>
          <w:szCs w:val="21"/>
        </w:rPr>
        <w:t>、场地搭建、物料及拍摄等相关会务采购服务。</w:t>
      </w:r>
      <w:r>
        <w:rPr>
          <w:rFonts w:hAnsi="宋体"/>
          <w:color w:val="auto"/>
          <w:szCs w:val="21"/>
        </w:rPr>
        <w:t>具体详见谈判文件</w:t>
      </w:r>
      <w:r>
        <w:rPr>
          <w:rFonts w:hint="eastAsia" w:hAnsi="宋体"/>
          <w:color w:val="auto"/>
          <w:szCs w:val="21"/>
        </w:rPr>
        <w:t>“</w:t>
      </w:r>
      <w:r>
        <w:rPr>
          <w:rFonts w:hAnsi="宋体"/>
          <w:color w:val="auto"/>
          <w:szCs w:val="21"/>
        </w:rPr>
        <w:t>第</w:t>
      </w:r>
      <w:r>
        <w:rPr>
          <w:rFonts w:hint="eastAsia" w:hAnsi="宋体"/>
          <w:color w:val="auto"/>
          <w:szCs w:val="21"/>
        </w:rPr>
        <w:t>五</w:t>
      </w:r>
      <w:r>
        <w:rPr>
          <w:rFonts w:hAnsi="宋体"/>
          <w:color w:val="auto"/>
          <w:szCs w:val="21"/>
        </w:rPr>
        <w:t>章</w:t>
      </w:r>
      <w:r>
        <w:rPr>
          <w:rFonts w:hint="eastAsia" w:hAnsi="宋体"/>
          <w:color w:val="auto"/>
          <w:szCs w:val="21"/>
        </w:rPr>
        <w:t xml:space="preserve"> 服务要求”</w:t>
      </w:r>
      <w:r>
        <w:rPr>
          <w:rFonts w:hAnsi="宋体"/>
          <w:color w:val="auto"/>
          <w:szCs w:val="21"/>
        </w:rPr>
        <w:t>。</w:t>
      </w:r>
    </w:p>
    <w:p>
      <w:pPr>
        <w:spacing w:line="540" w:lineRule="exact"/>
        <w:ind w:firstLine="480" w:firstLineChars="200"/>
      </w:pPr>
      <w:r>
        <w:t>2.4服务期限：1</w:t>
      </w:r>
      <w:r>
        <w:rPr>
          <w:rFonts w:hint="eastAsia"/>
        </w:rPr>
        <w:t>天；服务时间：5月14日</w:t>
      </w:r>
      <w:r>
        <w:t xml:space="preserve">。                          </w:t>
      </w:r>
    </w:p>
    <w:p>
      <w:pPr>
        <w:spacing w:line="540" w:lineRule="exact"/>
        <w:ind w:firstLine="480" w:firstLineChars="200"/>
      </w:pPr>
      <w:r>
        <w:t>2.5质量标准：合格。</w:t>
      </w:r>
    </w:p>
    <w:p>
      <w:pPr>
        <w:pStyle w:val="5"/>
        <w:numPr>
          <w:ilvl w:val="0"/>
          <w:numId w:val="10"/>
        </w:numPr>
        <w:spacing w:before="0" w:after="0" w:line="540" w:lineRule="exact"/>
        <w:rPr>
          <w:rFonts w:ascii="宋体" w:hAnsi="宋体" w:cs="宋体"/>
          <w:sz w:val="24"/>
          <w:szCs w:val="24"/>
        </w:rPr>
      </w:pPr>
      <w:bookmarkStart w:id="15" w:name="_Toc360107107"/>
      <w:bookmarkStart w:id="16" w:name="_Toc25665"/>
      <w:bookmarkStart w:id="17" w:name="_Toc23257"/>
      <w:bookmarkStart w:id="18" w:name="_Toc3205"/>
      <w:bookmarkStart w:id="19" w:name="_Toc26184"/>
      <w:r>
        <w:rPr>
          <w:rFonts w:hint="eastAsia" w:ascii="宋体" w:hAnsi="宋体" w:cs="宋体"/>
          <w:sz w:val="24"/>
          <w:szCs w:val="24"/>
        </w:rPr>
        <w:t>申请人资格要求</w:t>
      </w:r>
      <w:bookmarkEnd w:id="15"/>
      <w:bookmarkEnd w:id="16"/>
      <w:bookmarkEnd w:id="17"/>
      <w:bookmarkEnd w:id="18"/>
      <w:bookmarkEnd w:id="19"/>
    </w:p>
    <w:p>
      <w:pPr>
        <w:pStyle w:val="2"/>
        <w:spacing w:line="360" w:lineRule="auto"/>
        <w:ind w:firstLine="480" w:firstLineChars="200"/>
        <w:rPr>
          <w:color w:val="auto"/>
        </w:rPr>
      </w:pPr>
      <w:bookmarkStart w:id="20" w:name="_Hlk130799933"/>
      <w:r>
        <w:rPr>
          <w:rFonts w:hint="eastAsia"/>
          <w:color w:val="auto"/>
        </w:rPr>
        <w:t>（1）须在中华人民共和国境内合法注册、有法人资格和经营许可，具有独立承担民事责任的能力；</w:t>
      </w:r>
    </w:p>
    <w:p>
      <w:pPr>
        <w:pStyle w:val="2"/>
        <w:spacing w:line="360" w:lineRule="auto"/>
        <w:ind w:firstLine="480" w:firstLineChars="200"/>
        <w:rPr>
          <w:color w:val="auto"/>
        </w:rPr>
      </w:pPr>
      <w:r>
        <w:rPr>
          <w:rFonts w:hint="eastAsia"/>
          <w:color w:val="auto"/>
        </w:rPr>
        <w:t>（2）具有良好的商业信誉和健全的财务会计制度；</w:t>
      </w:r>
    </w:p>
    <w:p>
      <w:pPr>
        <w:pStyle w:val="2"/>
        <w:spacing w:line="360" w:lineRule="auto"/>
        <w:ind w:firstLine="480" w:firstLineChars="200"/>
        <w:rPr>
          <w:color w:val="auto"/>
        </w:rPr>
      </w:pPr>
      <w:r>
        <w:rPr>
          <w:rFonts w:hint="eastAsia"/>
          <w:color w:val="auto"/>
        </w:rPr>
        <w:t>（3）具有履行合同所必需的设备和专业技术能力；</w:t>
      </w:r>
    </w:p>
    <w:p>
      <w:pPr>
        <w:pStyle w:val="2"/>
        <w:spacing w:line="360" w:lineRule="auto"/>
        <w:ind w:firstLine="480" w:firstLineChars="200"/>
        <w:rPr>
          <w:color w:val="auto"/>
        </w:rPr>
      </w:pPr>
      <w:r>
        <w:rPr>
          <w:rFonts w:hint="eastAsia"/>
          <w:color w:val="auto"/>
        </w:rPr>
        <w:t>（4）近三年内在经营活动中没有重大违法记录；</w:t>
      </w:r>
    </w:p>
    <w:p>
      <w:pPr>
        <w:pStyle w:val="2"/>
        <w:spacing w:line="360" w:lineRule="auto"/>
        <w:ind w:firstLine="480" w:firstLineChars="200"/>
        <w:rPr>
          <w:color w:val="auto"/>
        </w:rPr>
      </w:pPr>
      <w:r>
        <w:rPr>
          <w:rFonts w:hint="eastAsia"/>
          <w:color w:val="auto"/>
        </w:rPr>
        <w:t>（</w:t>
      </w:r>
      <w:r>
        <w:rPr>
          <w:color w:val="auto"/>
        </w:rPr>
        <w:t>5</w:t>
      </w:r>
      <w:r>
        <w:rPr>
          <w:rFonts w:hint="eastAsia"/>
          <w:color w:val="auto"/>
        </w:rPr>
        <w:t>）在“信用中国”网站（www.creditchina.gov.cn）中未被列入失信被执行人和重大税收违法案件当事人；</w:t>
      </w:r>
    </w:p>
    <w:p>
      <w:pPr>
        <w:pStyle w:val="2"/>
        <w:spacing w:line="360" w:lineRule="auto"/>
        <w:ind w:firstLine="480" w:firstLineChars="200"/>
        <w:rPr>
          <w:color w:val="auto"/>
        </w:rPr>
      </w:pPr>
      <w:r>
        <w:rPr>
          <w:rFonts w:hint="eastAsia"/>
          <w:color w:val="auto"/>
        </w:rPr>
        <w:t>（</w:t>
      </w:r>
      <w:r>
        <w:rPr>
          <w:color w:val="auto"/>
        </w:rPr>
        <w:t>6</w:t>
      </w:r>
      <w:r>
        <w:rPr>
          <w:rFonts w:hint="eastAsia"/>
          <w:color w:val="auto"/>
        </w:rPr>
        <w:t>）单位负责人为同一人或者存在控股、管理关系的不同单位，不得同时对本项目投标；</w:t>
      </w:r>
    </w:p>
    <w:p>
      <w:pPr>
        <w:pStyle w:val="2"/>
        <w:spacing w:line="360" w:lineRule="auto"/>
        <w:ind w:firstLine="480" w:firstLineChars="200"/>
        <w:rPr>
          <w:color w:val="auto"/>
        </w:rPr>
      </w:pPr>
      <w:r>
        <w:rPr>
          <w:rFonts w:hint="eastAsia"/>
          <w:color w:val="auto"/>
        </w:rPr>
        <w:t>（</w:t>
      </w:r>
      <w:r>
        <w:rPr>
          <w:color w:val="auto"/>
        </w:rPr>
        <w:t>7</w:t>
      </w:r>
      <w:r>
        <w:rPr>
          <w:rFonts w:hint="eastAsia"/>
          <w:color w:val="auto"/>
        </w:rPr>
        <w:t>）本次谈判不允许联合体参加。</w:t>
      </w:r>
    </w:p>
    <w:p>
      <w:pPr>
        <w:pStyle w:val="2"/>
        <w:spacing w:line="360" w:lineRule="auto"/>
        <w:ind w:firstLine="480" w:firstLineChars="200"/>
        <w:rPr>
          <w:b/>
          <w:bCs/>
          <w:color w:val="auto"/>
        </w:rPr>
      </w:pPr>
      <w:r>
        <w:rPr>
          <w:rFonts w:hint="eastAsia"/>
          <w:b/>
          <w:bCs/>
          <w:color w:val="auto"/>
        </w:rPr>
        <w:t>注：中英人寿保险有限公司个人营销渠道2022年度高峰会项目标包1-旅游和标包2</w:t>
      </w:r>
      <w:r>
        <w:rPr>
          <w:b/>
          <w:bCs/>
          <w:color w:val="auto"/>
        </w:rPr>
        <w:t>-</w:t>
      </w:r>
      <w:r>
        <w:rPr>
          <w:rFonts w:hint="eastAsia"/>
          <w:b/>
          <w:bCs/>
          <w:color w:val="auto"/>
        </w:rPr>
        <w:t>会务两个标包同时发布公告，不允许同一供应商同时报名两个标包。</w:t>
      </w:r>
    </w:p>
    <w:bookmarkEnd w:id="20"/>
    <w:p>
      <w:pPr>
        <w:pStyle w:val="5"/>
        <w:spacing w:before="0" w:after="0" w:line="540" w:lineRule="exact"/>
        <w:rPr>
          <w:rFonts w:ascii="宋体" w:hAnsi="宋体" w:cs="宋体"/>
          <w:sz w:val="24"/>
          <w:szCs w:val="24"/>
        </w:rPr>
      </w:pPr>
      <w:bookmarkStart w:id="21" w:name="_Toc11390"/>
      <w:bookmarkStart w:id="22" w:name="_Toc14459"/>
      <w:bookmarkStart w:id="23" w:name="_Toc360107108"/>
      <w:bookmarkStart w:id="24" w:name="_Toc27248"/>
      <w:bookmarkStart w:id="25" w:name="_Toc23728"/>
      <w:r>
        <w:rPr>
          <w:rFonts w:hint="eastAsia" w:ascii="宋体" w:hAnsi="宋体" w:cs="宋体"/>
          <w:sz w:val="24"/>
          <w:szCs w:val="24"/>
        </w:rPr>
        <w:t>4. 谈判文件的获取</w:t>
      </w:r>
      <w:bookmarkEnd w:id="21"/>
      <w:bookmarkEnd w:id="22"/>
      <w:bookmarkEnd w:id="23"/>
      <w:bookmarkEnd w:id="24"/>
      <w:bookmarkEnd w:id="25"/>
      <w:bookmarkStart w:id="26" w:name="_Toc4562"/>
      <w:bookmarkStart w:id="27" w:name="_Toc17437"/>
      <w:bookmarkStart w:id="28" w:name="_Toc24767"/>
      <w:bookmarkStart w:id="29" w:name="_Toc360107109"/>
      <w:bookmarkStart w:id="30" w:name="_Toc28222"/>
    </w:p>
    <w:p>
      <w:pPr>
        <w:spacing w:line="480" w:lineRule="exact"/>
        <w:ind w:firstLine="424" w:firstLineChars="177"/>
        <w:contextualSpacing/>
        <w:rPr>
          <w:szCs w:val="21"/>
        </w:rPr>
      </w:pPr>
      <w:r>
        <w:rPr>
          <w:rFonts w:hint="eastAsia"/>
        </w:rPr>
        <w:t>4.1时间：</w:t>
      </w:r>
      <w:r>
        <w:rPr>
          <w:rFonts w:hint="eastAsia"/>
          <w:b/>
        </w:rPr>
        <w:t>202</w:t>
      </w:r>
      <w:r>
        <w:rPr>
          <w:b/>
        </w:rPr>
        <w:t>3</w:t>
      </w:r>
      <w:r>
        <w:rPr>
          <w:rFonts w:hint="eastAsia"/>
          <w:b/>
        </w:rPr>
        <w:t>年</w:t>
      </w:r>
      <w:r>
        <w:rPr>
          <w:b/>
        </w:rPr>
        <w:t>4</w:t>
      </w:r>
      <w:r>
        <w:rPr>
          <w:rFonts w:hint="eastAsia"/>
          <w:b/>
        </w:rPr>
        <w:t>月</w:t>
      </w:r>
      <w:r>
        <w:rPr>
          <w:b/>
        </w:rPr>
        <w:t>4</w:t>
      </w:r>
      <w:r>
        <w:rPr>
          <w:rFonts w:hint="eastAsia"/>
          <w:b/>
        </w:rPr>
        <w:t>日至 202</w:t>
      </w:r>
      <w:r>
        <w:rPr>
          <w:b/>
        </w:rPr>
        <w:t>3</w:t>
      </w:r>
      <w:r>
        <w:rPr>
          <w:rFonts w:hint="eastAsia"/>
          <w:b/>
        </w:rPr>
        <w:t>年</w:t>
      </w:r>
      <w:r>
        <w:rPr>
          <w:b/>
        </w:rPr>
        <w:t>4</w:t>
      </w:r>
      <w:r>
        <w:rPr>
          <w:rFonts w:hint="eastAsia"/>
          <w:b/>
        </w:rPr>
        <w:t>月</w:t>
      </w:r>
      <w:r>
        <w:rPr>
          <w:b/>
        </w:rPr>
        <w:t>10</w:t>
      </w:r>
      <w:r>
        <w:rPr>
          <w:rFonts w:hint="eastAsia"/>
          <w:b/>
        </w:rPr>
        <w:t>日</w:t>
      </w:r>
      <w:r>
        <w:rPr>
          <w:rFonts w:hint="eastAsia"/>
        </w:rPr>
        <w:t>，每天上午09:00至12:00 ，下午1</w:t>
      </w:r>
      <w:r>
        <w:t>4</w:t>
      </w:r>
      <w:r>
        <w:rPr>
          <w:rFonts w:hint="eastAsia"/>
        </w:rPr>
        <w:t>:00至16:00(北京时间，法定节假日除外)</w:t>
      </w:r>
      <w:r>
        <w:rPr>
          <w:rFonts w:hint="eastAsia"/>
          <w:b/>
          <w:bCs/>
          <w:szCs w:val="21"/>
        </w:rPr>
        <w:t xml:space="preserve"> </w:t>
      </w:r>
    </w:p>
    <w:p>
      <w:pPr>
        <w:spacing w:line="540" w:lineRule="exact"/>
        <w:ind w:firstLine="480" w:firstLineChars="200"/>
      </w:pPr>
      <w:r>
        <w:rPr>
          <w:rFonts w:hint="eastAsia"/>
        </w:rPr>
        <w:t>4.2谈判文件售价：</w:t>
      </w:r>
      <w:r>
        <w:rPr>
          <w:u w:val="single"/>
        </w:rPr>
        <w:t>5</w:t>
      </w:r>
      <w:r>
        <w:rPr>
          <w:rFonts w:hint="eastAsia"/>
          <w:u w:val="single"/>
        </w:rPr>
        <w:t>00</w:t>
      </w:r>
      <w:r>
        <w:rPr>
          <w:rFonts w:hint="eastAsia"/>
        </w:rPr>
        <w:t>元，</w:t>
      </w:r>
      <w:r>
        <w:rPr>
          <w:rFonts w:hint="eastAsia"/>
          <w:bCs/>
          <w:szCs w:val="21"/>
        </w:rPr>
        <w:t>售后不退</w:t>
      </w:r>
      <w:r>
        <w:rPr>
          <w:rFonts w:hint="eastAsia"/>
        </w:rPr>
        <w:t>。</w:t>
      </w:r>
    </w:p>
    <w:p>
      <w:pPr>
        <w:spacing w:line="540" w:lineRule="exact"/>
        <w:ind w:firstLine="480" w:firstLineChars="200"/>
        <w:rPr>
          <w:bCs/>
          <w:szCs w:val="21"/>
        </w:rPr>
      </w:pPr>
      <w:r>
        <w:rPr>
          <w:rFonts w:hint="eastAsia"/>
        </w:rPr>
        <w:t>4.3获取方式：</w:t>
      </w:r>
      <w:r>
        <w:rPr>
          <w:rFonts w:hint="eastAsia"/>
          <w:b/>
          <w:bCs/>
          <w:szCs w:val="21"/>
        </w:rPr>
        <w:t>由拟派的授权代表持有效的法定代表人授权委托书、被授权人身份证复印件、被授权人近一个月社保证明及有效的企业法人营业执照或事业单位法人证书（副本）复印件加盖公章</w:t>
      </w:r>
      <w:r>
        <w:rPr>
          <w:rFonts w:hint="eastAsia"/>
          <w:bCs/>
          <w:szCs w:val="21"/>
        </w:rPr>
        <w:t>，到中国远东国际招标有限公司一层办理报名并获取谈判文件，如遇疫情状况，无法到购买现场的，请致电李女士，1</w:t>
      </w:r>
      <w:r>
        <w:rPr>
          <w:bCs/>
          <w:szCs w:val="21"/>
        </w:rPr>
        <w:t>3501089832</w:t>
      </w:r>
      <w:r>
        <w:rPr>
          <w:rFonts w:hint="eastAsia"/>
          <w:bCs/>
          <w:szCs w:val="21"/>
        </w:rPr>
        <w:t>。</w:t>
      </w:r>
    </w:p>
    <w:p>
      <w:pPr>
        <w:pStyle w:val="5"/>
        <w:spacing w:before="0" w:after="0" w:line="540" w:lineRule="exact"/>
        <w:rPr>
          <w:rFonts w:ascii="宋体" w:hAnsi="宋体" w:cs="宋体"/>
          <w:sz w:val="24"/>
          <w:szCs w:val="24"/>
        </w:rPr>
      </w:pPr>
      <w:r>
        <w:rPr>
          <w:rFonts w:hint="eastAsia" w:ascii="宋体" w:hAnsi="宋体" w:cs="宋体"/>
          <w:sz w:val="24"/>
          <w:szCs w:val="24"/>
        </w:rPr>
        <w:t>5. 响应文件的递交</w:t>
      </w:r>
      <w:bookmarkEnd w:id="26"/>
      <w:bookmarkEnd w:id="27"/>
      <w:bookmarkEnd w:id="28"/>
      <w:bookmarkEnd w:id="29"/>
      <w:bookmarkEnd w:id="30"/>
    </w:p>
    <w:p>
      <w:pPr>
        <w:spacing w:line="540" w:lineRule="exact"/>
        <w:ind w:firstLine="480" w:firstLineChars="200"/>
        <w:rPr>
          <w:b/>
        </w:rPr>
      </w:pPr>
      <w:r>
        <w:rPr>
          <w:rFonts w:hint="eastAsia"/>
        </w:rPr>
        <w:t>5.1</w:t>
      </w:r>
      <w:r>
        <w:rPr>
          <w:rFonts w:hint="eastAsia"/>
          <w:b/>
        </w:rPr>
        <w:t>响应文件递交的截止时间（同谈判文件开启时间）为</w:t>
      </w:r>
      <w:r>
        <w:rPr>
          <w:rFonts w:hint="eastAsia"/>
          <w:b/>
          <w:u w:val="single"/>
        </w:rPr>
        <w:t xml:space="preserve"> 202</w:t>
      </w:r>
      <w:r>
        <w:rPr>
          <w:b/>
          <w:u w:val="single"/>
        </w:rPr>
        <w:t>3</w:t>
      </w:r>
      <w:r>
        <w:rPr>
          <w:rFonts w:hint="eastAsia"/>
          <w:b/>
        </w:rPr>
        <w:t>年</w:t>
      </w:r>
      <w:r>
        <w:rPr>
          <w:rFonts w:hint="eastAsia"/>
          <w:b/>
          <w:u w:val="single"/>
        </w:rPr>
        <w:t xml:space="preserve"> </w:t>
      </w:r>
      <w:r>
        <w:rPr>
          <w:b/>
          <w:u w:val="single"/>
        </w:rPr>
        <w:t>4</w:t>
      </w:r>
      <w:r>
        <w:rPr>
          <w:rFonts w:hint="eastAsia"/>
          <w:b/>
        </w:rPr>
        <w:t>月</w:t>
      </w:r>
      <w:r>
        <w:rPr>
          <w:rFonts w:hint="eastAsia"/>
          <w:b/>
          <w:u w:val="single"/>
        </w:rPr>
        <w:t xml:space="preserve"> </w:t>
      </w:r>
      <w:r>
        <w:rPr>
          <w:b/>
          <w:u w:val="single"/>
        </w:rPr>
        <w:t>17</w:t>
      </w:r>
      <w:r>
        <w:rPr>
          <w:rFonts w:hint="eastAsia"/>
          <w:b/>
        </w:rPr>
        <w:t>日</w:t>
      </w:r>
      <w:r>
        <w:rPr>
          <w:rFonts w:hint="eastAsia"/>
          <w:b/>
          <w:u w:val="single"/>
        </w:rPr>
        <w:t xml:space="preserve"> </w:t>
      </w:r>
      <w:r>
        <w:rPr>
          <w:b/>
          <w:u w:val="single"/>
        </w:rPr>
        <w:t>9</w:t>
      </w:r>
      <w:r>
        <w:rPr>
          <w:rFonts w:hint="eastAsia"/>
          <w:b/>
        </w:rPr>
        <w:t>时</w:t>
      </w:r>
      <w:r>
        <w:rPr>
          <w:rFonts w:hint="eastAsia"/>
          <w:b/>
          <w:u w:val="single"/>
        </w:rPr>
        <w:t xml:space="preserve"> </w:t>
      </w:r>
      <w:r>
        <w:rPr>
          <w:b/>
          <w:u w:val="single"/>
        </w:rPr>
        <w:t>30</w:t>
      </w:r>
      <w:r>
        <w:rPr>
          <w:rFonts w:hint="eastAsia"/>
          <w:b/>
          <w:u w:val="single"/>
        </w:rPr>
        <w:t xml:space="preserve"> </w:t>
      </w:r>
      <w:r>
        <w:rPr>
          <w:rFonts w:hint="eastAsia"/>
          <w:b/>
        </w:rPr>
        <w:t>分。</w:t>
      </w:r>
    </w:p>
    <w:p>
      <w:pPr>
        <w:spacing w:line="540" w:lineRule="exact"/>
        <w:ind w:firstLine="480" w:firstLineChars="200"/>
      </w:pPr>
      <w:r>
        <w:rPr>
          <w:rFonts w:hint="eastAsia"/>
        </w:rPr>
        <w:t>5.2</w:t>
      </w:r>
      <w:r>
        <w:rPr>
          <w:rFonts w:hint="eastAsia"/>
          <w:b/>
          <w:bCs/>
          <w:szCs w:val="21"/>
        </w:rPr>
        <w:t>开启地点：</w:t>
      </w:r>
      <w:r>
        <w:rPr>
          <w:rFonts w:hint="eastAsia"/>
          <w:b/>
          <w:bCs/>
        </w:rPr>
        <w:t>中国远东国际招标有限公司8层</w:t>
      </w:r>
      <w:r>
        <w:rPr>
          <w:b/>
          <w:bCs/>
        </w:rPr>
        <w:t>会议室</w:t>
      </w:r>
      <w:r>
        <w:rPr>
          <w:rFonts w:hint="eastAsia"/>
          <w:b/>
          <w:bCs/>
        </w:rPr>
        <w:t>（北京市朝阳区和平街东土城路甲</w:t>
      </w:r>
      <w:r>
        <w:rPr>
          <w:b/>
          <w:bCs/>
        </w:rPr>
        <w:t>9号</w:t>
      </w:r>
      <w:r>
        <w:rPr>
          <w:rFonts w:hint="eastAsia"/>
          <w:b/>
          <w:bCs/>
        </w:rPr>
        <w:t>远东大厦）</w:t>
      </w:r>
    </w:p>
    <w:p>
      <w:pPr>
        <w:spacing w:line="540" w:lineRule="exact"/>
        <w:ind w:firstLine="480" w:firstLineChars="200"/>
      </w:pPr>
      <w:r>
        <w:rPr>
          <w:rFonts w:hint="eastAsia"/>
        </w:rPr>
        <w:t>5.3 逾期送达的响应文件，采购人不予受理。</w:t>
      </w:r>
    </w:p>
    <w:p>
      <w:pPr>
        <w:pStyle w:val="5"/>
        <w:spacing w:before="0" w:after="0" w:line="540" w:lineRule="exact"/>
        <w:rPr>
          <w:rFonts w:ascii="宋体" w:hAnsi="宋体" w:cs="宋体"/>
          <w:sz w:val="24"/>
          <w:szCs w:val="24"/>
        </w:rPr>
      </w:pPr>
      <w:bookmarkStart w:id="31" w:name="_Toc7200"/>
      <w:bookmarkStart w:id="32" w:name="_Toc5696"/>
      <w:bookmarkStart w:id="33" w:name="_Toc21485"/>
      <w:bookmarkStart w:id="34" w:name="_Toc3252"/>
      <w:bookmarkStart w:id="35" w:name="_Toc360107111"/>
      <w:r>
        <w:rPr>
          <w:rFonts w:ascii="宋体" w:hAnsi="宋体" w:cs="宋体"/>
          <w:sz w:val="24"/>
          <w:szCs w:val="24"/>
        </w:rPr>
        <w:t>6.公告发布媒介</w:t>
      </w:r>
    </w:p>
    <w:p>
      <w:pPr>
        <w:spacing w:line="540" w:lineRule="exact"/>
        <w:ind w:firstLine="240" w:firstLineChars="100"/>
      </w:pPr>
      <w:r>
        <w:rPr>
          <w:rFonts w:hint="eastAsia"/>
        </w:rPr>
        <w:t>本次谈判公告仅在中国招标投标公共服务平台（</w:t>
      </w:r>
      <w:r>
        <w:t>http://www.cebpubservice.com/)上发布。因轻信其他组织、个人或媒体提供的信息而造成损失的，</w:t>
      </w:r>
      <w:r>
        <w:rPr>
          <w:rFonts w:hint="eastAsia"/>
        </w:rPr>
        <w:t>采购</w:t>
      </w:r>
      <w:r>
        <w:t>人、</w:t>
      </w:r>
      <w:r>
        <w:rPr>
          <w:rFonts w:hint="eastAsia"/>
        </w:rPr>
        <w:t>采购</w:t>
      </w:r>
      <w:r>
        <w:t>代理机构概不负责。</w:t>
      </w:r>
    </w:p>
    <w:p>
      <w:pPr>
        <w:topLinePunct/>
        <w:spacing w:line="540" w:lineRule="exact"/>
        <w:ind w:left="-2" w:leftChars="-59" w:hanging="139" w:hangingChars="58"/>
        <w:rPr>
          <w:b/>
          <w:bCs/>
          <w:szCs w:val="21"/>
        </w:rPr>
      </w:pPr>
      <w:r>
        <w:rPr>
          <w:rFonts w:hint="eastAsia"/>
          <w:b/>
          <w:bCs/>
          <w:szCs w:val="21"/>
        </w:rPr>
        <w:t>7. 联系方式</w:t>
      </w:r>
      <w:bookmarkEnd w:id="31"/>
      <w:bookmarkEnd w:id="32"/>
      <w:bookmarkEnd w:id="33"/>
      <w:bookmarkEnd w:id="34"/>
      <w:bookmarkEnd w:id="35"/>
    </w:p>
    <w:p>
      <w:pPr>
        <w:topLinePunct/>
        <w:spacing w:line="540" w:lineRule="exact"/>
        <w:ind w:left="7216" w:leftChars="4" w:hanging="7207" w:hangingChars="3000"/>
        <w:rPr>
          <w:b/>
          <w:bCs/>
        </w:rPr>
      </w:pPr>
      <w:r>
        <w:rPr>
          <w:rFonts w:hint="eastAsia"/>
          <w:b/>
          <w:bCs/>
        </w:rPr>
        <w:t>采购人：中英人寿保险有限公司</w:t>
      </w:r>
      <w:r>
        <w:rPr>
          <w:b/>
          <w:bCs/>
        </w:rPr>
        <w:t xml:space="preserve">          </w:t>
      </w:r>
    </w:p>
    <w:p>
      <w:pPr>
        <w:topLinePunct/>
        <w:spacing w:line="540" w:lineRule="exact"/>
        <w:ind w:left="7209" w:leftChars="4" w:hanging="7200" w:hangingChars="3000"/>
      </w:pPr>
      <w:r>
        <w:rPr>
          <w:rFonts w:hint="eastAsia"/>
        </w:rPr>
        <w:t>地    址：北京市朝阳区东三环中路20号乐成中心A座12及15层</w:t>
      </w:r>
    </w:p>
    <w:p>
      <w:pPr>
        <w:topLinePunct/>
        <w:spacing w:line="540" w:lineRule="exact"/>
        <w:ind w:left="7209" w:leftChars="4" w:hanging="7200" w:hangingChars="3000"/>
      </w:pPr>
      <w:r>
        <w:rPr>
          <w:rFonts w:hint="eastAsia"/>
        </w:rPr>
        <w:t xml:space="preserve">联 系 人: 孟雪 </w:t>
      </w:r>
    </w:p>
    <w:p>
      <w:pPr>
        <w:topLinePunct/>
        <w:spacing w:line="540" w:lineRule="exact"/>
        <w:ind w:left="7209" w:leftChars="4" w:hanging="7200" w:hangingChars="3000"/>
      </w:pPr>
      <w:r>
        <w:rPr>
          <w:rFonts w:hint="eastAsia"/>
        </w:rPr>
        <w:t xml:space="preserve">电    话：13488669734    </w:t>
      </w:r>
    </w:p>
    <w:p>
      <w:pPr>
        <w:topLinePunct/>
        <w:spacing w:line="540" w:lineRule="exact"/>
        <w:ind w:left="7209" w:leftChars="4" w:hanging="7200" w:hangingChars="3000"/>
      </w:pPr>
      <w:r>
        <w:rPr>
          <w:rFonts w:hint="eastAsia"/>
        </w:rPr>
        <w:t xml:space="preserve">  </w:t>
      </w:r>
    </w:p>
    <w:p>
      <w:pPr>
        <w:topLinePunct/>
        <w:spacing w:line="540" w:lineRule="exact"/>
        <w:ind w:left="7216" w:leftChars="4" w:hanging="7207" w:hangingChars="3000"/>
        <w:rPr>
          <w:b/>
          <w:bCs/>
        </w:rPr>
      </w:pPr>
      <w:r>
        <w:rPr>
          <w:rFonts w:hint="eastAsia"/>
          <w:b/>
          <w:bCs/>
        </w:rPr>
        <w:t xml:space="preserve">采购代理机构：中国远东国际招标有限公司                                                               </w:t>
      </w:r>
    </w:p>
    <w:p>
      <w:pPr>
        <w:topLinePunct/>
        <w:spacing w:line="540" w:lineRule="exact"/>
        <w:ind w:left="5520" w:hanging="5520" w:hangingChars="2300"/>
      </w:pPr>
      <w:r>
        <w:rPr>
          <w:rFonts w:hint="eastAsia"/>
        </w:rPr>
        <w:t xml:space="preserve">地  址：北京市朝阳区和平街东土城路甲9号                                                           </w:t>
      </w:r>
    </w:p>
    <w:p>
      <w:pPr>
        <w:topLinePunct/>
        <w:spacing w:line="540" w:lineRule="exact"/>
      </w:pPr>
      <w:r>
        <w:rPr>
          <w:rFonts w:hint="eastAsia"/>
        </w:rPr>
        <w:t xml:space="preserve">联 系 人：李女士、尹女士                             </w:t>
      </w:r>
    </w:p>
    <w:p>
      <w:pPr>
        <w:topLinePunct/>
        <w:spacing w:line="540" w:lineRule="exact"/>
      </w:pPr>
      <w:r>
        <w:rPr>
          <w:rFonts w:hint="eastAsia"/>
        </w:rPr>
        <w:t xml:space="preserve">电    话： </w:t>
      </w:r>
      <w:r>
        <w:t>010-64291720-8054</w:t>
      </w:r>
      <w:r>
        <w:rPr>
          <w:rFonts w:hint="eastAsia"/>
        </w:rPr>
        <w:t>/</w:t>
      </w:r>
      <w:r>
        <w:t>13501089832</w:t>
      </w:r>
      <w:r>
        <w:rPr>
          <w:rFonts w:hint="eastAsia"/>
        </w:rPr>
        <w:t xml:space="preserve">                                                       </w:t>
      </w:r>
    </w:p>
    <w:p>
      <w:pPr>
        <w:spacing w:line="540" w:lineRule="exact"/>
      </w:pPr>
      <w:r>
        <w:rPr>
          <w:rFonts w:hint="eastAsia"/>
        </w:rPr>
        <w:t xml:space="preserve">电子邮件： yinyi@cfet.com.cn    </w:t>
      </w:r>
    </w:p>
    <w:p>
      <w:pPr>
        <w:spacing w:line="540" w:lineRule="exact"/>
      </w:pPr>
    </w:p>
    <w:p>
      <w:pPr>
        <w:spacing w:line="540" w:lineRule="exact"/>
      </w:pPr>
      <w:r>
        <w:rPr>
          <w:rFonts w:hint="eastAsia"/>
        </w:rPr>
        <w:t xml:space="preserve">中英人寿监督联系方式                                                          </w:t>
      </w:r>
    </w:p>
    <w:p>
      <w:pPr>
        <w:topLinePunct/>
        <w:spacing w:line="540" w:lineRule="exact"/>
      </w:pPr>
      <w:r>
        <w:rPr>
          <w:rFonts w:hint="eastAsia"/>
        </w:rPr>
        <w:t xml:space="preserve">联 系 人： 孟雪                            </w:t>
      </w:r>
    </w:p>
    <w:p>
      <w:pPr>
        <w:topLinePunct/>
        <w:spacing w:line="540" w:lineRule="exact"/>
      </w:pPr>
      <w:r>
        <w:rPr>
          <w:rFonts w:hint="eastAsia"/>
        </w:rPr>
        <w:t xml:space="preserve">电    话： 13488669734                                                      </w:t>
      </w:r>
    </w:p>
    <w:p>
      <w:pPr>
        <w:spacing w:line="540" w:lineRule="exact"/>
      </w:pPr>
      <w:r>
        <w:rPr>
          <w:rFonts w:hint="eastAsia"/>
        </w:rPr>
        <w:t xml:space="preserve">电子邮件： mandy_meng@aviva-cofco.com.cn     </w:t>
      </w:r>
    </w:p>
    <w:p>
      <w:pPr>
        <w:rPr>
          <w:rFonts w:cstheme="minorBidi"/>
          <w:b/>
          <w:kern w:val="2"/>
          <w:sz w:val="28"/>
          <w:szCs w:val="28"/>
        </w:rPr>
      </w:pPr>
      <w:r>
        <w:rPr>
          <w:b/>
          <w:spacing w:val="16"/>
          <w:sz w:val="32"/>
          <w:szCs w:val="32"/>
        </w:rPr>
        <w:br w:type="page"/>
      </w:r>
      <w:bookmarkEnd w:id="1"/>
      <w:bookmarkStart w:id="36" w:name="_Toc65610972"/>
      <w:bookmarkStart w:id="37" w:name="_Toc79067225"/>
    </w:p>
    <w:p>
      <w:pPr>
        <w:jc w:val="center"/>
        <w:outlineLvl w:val="0"/>
      </w:pPr>
      <w:r>
        <w:rPr>
          <w:rFonts w:hint="eastAsia" w:cstheme="minorBidi"/>
          <w:b/>
          <w:kern w:val="2"/>
          <w:sz w:val="28"/>
          <w:szCs w:val="28"/>
        </w:rPr>
        <w:t>第二部分  供应商须知</w:t>
      </w:r>
      <w:bookmarkEnd w:id="36"/>
      <w:bookmarkEnd w:id="37"/>
    </w:p>
    <w:p>
      <w:pPr>
        <w:jc w:val="center"/>
        <w:rPr>
          <w:b/>
          <w:bCs/>
        </w:rPr>
      </w:pPr>
      <w:bookmarkStart w:id="38" w:name="_Toc6966"/>
      <w:bookmarkStart w:id="39" w:name="_Toc65610971"/>
    </w:p>
    <w:p>
      <w:pPr>
        <w:jc w:val="center"/>
        <w:rPr>
          <w:b/>
          <w:bCs/>
          <w:sz w:val="28"/>
          <w:szCs w:val="28"/>
        </w:rPr>
      </w:pPr>
      <w:r>
        <w:rPr>
          <w:rFonts w:hint="eastAsia"/>
          <w:b/>
          <w:bCs/>
          <w:sz w:val="28"/>
          <w:szCs w:val="28"/>
        </w:rPr>
        <w:t>前</w:t>
      </w:r>
      <w:r>
        <w:rPr>
          <w:b/>
          <w:bCs/>
          <w:sz w:val="28"/>
          <w:szCs w:val="28"/>
        </w:rPr>
        <w:t xml:space="preserve"> </w:t>
      </w:r>
      <w:r>
        <w:rPr>
          <w:rFonts w:hint="eastAsia"/>
          <w:b/>
          <w:bCs/>
          <w:sz w:val="28"/>
          <w:szCs w:val="28"/>
        </w:rPr>
        <w:t>附</w:t>
      </w:r>
      <w:r>
        <w:rPr>
          <w:b/>
          <w:bCs/>
          <w:sz w:val="28"/>
          <w:szCs w:val="28"/>
        </w:rPr>
        <w:t xml:space="preserve"> </w:t>
      </w:r>
      <w:r>
        <w:rPr>
          <w:rFonts w:hint="eastAsia"/>
          <w:b/>
          <w:bCs/>
          <w:sz w:val="28"/>
          <w:szCs w:val="28"/>
        </w:rPr>
        <w:t>表</w:t>
      </w:r>
      <w:bookmarkEnd w:id="38"/>
      <w:bookmarkEnd w:id="39"/>
    </w:p>
    <w:tbl>
      <w:tblPr>
        <w:tblStyle w:val="38"/>
        <w:tblW w:w="91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16"/>
        <w:gridCol w:w="69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44" w:hRule="exact"/>
          <w:jc w:val="center"/>
        </w:trPr>
        <w:tc>
          <w:tcPr>
            <w:tcW w:w="701" w:type="dxa"/>
            <w:vAlign w:val="center"/>
          </w:tcPr>
          <w:p>
            <w:pPr>
              <w:adjustRightInd w:val="0"/>
              <w:snapToGrid w:val="0"/>
              <w:spacing w:line="360" w:lineRule="auto"/>
              <w:jc w:val="center"/>
              <w:rPr>
                <w:b/>
              </w:rPr>
            </w:pPr>
            <w:r>
              <w:rPr>
                <w:rFonts w:hint="eastAsia"/>
                <w:b/>
              </w:rPr>
              <w:t>项号</w:t>
            </w:r>
          </w:p>
        </w:tc>
        <w:tc>
          <w:tcPr>
            <w:tcW w:w="1416" w:type="dxa"/>
            <w:vAlign w:val="center"/>
          </w:tcPr>
          <w:p>
            <w:pPr>
              <w:adjustRightInd w:val="0"/>
              <w:snapToGrid w:val="0"/>
              <w:spacing w:line="360" w:lineRule="auto"/>
              <w:jc w:val="center"/>
              <w:rPr>
                <w:b/>
              </w:rPr>
            </w:pPr>
            <w:r>
              <w:rPr>
                <w:rFonts w:hint="eastAsia"/>
                <w:b/>
              </w:rPr>
              <w:t>项  目</w:t>
            </w:r>
          </w:p>
        </w:tc>
        <w:tc>
          <w:tcPr>
            <w:tcW w:w="6988" w:type="dxa"/>
            <w:vAlign w:val="center"/>
          </w:tcPr>
          <w:p>
            <w:pPr>
              <w:adjustRightInd w:val="0"/>
              <w:snapToGrid w:val="0"/>
              <w:spacing w:line="360" w:lineRule="auto"/>
              <w:jc w:val="center"/>
              <w:rPr>
                <w:b/>
              </w:rPr>
            </w:pPr>
            <w:r>
              <w:rPr>
                <w:rFonts w:hint="eastAsia"/>
                <w:b/>
              </w:rPr>
              <w:t>说明与要求</w:t>
            </w:r>
          </w:p>
        </w:tc>
      </w:tr>
      <w:tr>
        <w:trPr>
          <w:trHeight w:val="533" w:hRule="atLeast"/>
          <w:jc w:val="center"/>
        </w:trPr>
        <w:tc>
          <w:tcPr>
            <w:tcW w:w="701" w:type="dxa"/>
            <w:vAlign w:val="center"/>
          </w:tcPr>
          <w:p>
            <w:pPr>
              <w:adjustRightInd w:val="0"/>
              <w:snapToGrid w:val="0"/>
              <w:spacing w:line="360" w:lineRule="auto"/>
              <w:jc w:val="center"/>
            </w:pPr>
            <w:r>
              <w:rPr>
                <w:rFonts w:hint="eastAsia"/>
              </w:rPr>
              <w:t>1</w:t>
            </w:r>
          </w:p>
        </w:tc>
        <w:tc>
          <w:tcPr>
            <w:tcW w:w="1416" w:type="dxa"/>
            <w:vAlign w:val="center"/>
          </w:tcPr>
          <w:p>
            <w:pPr>
              <w:adjustRightInd w:val="0"/>
              <w:snapToGrid w:val="0"/>
              <w:spacing w:line="360" w:lineRule="auto"/>
              <w:jc w:val="center"/>
            </w:pPr>
            <w:r>
              <w:rPr>
                <w:rFonts w:hint="eastAsia"/>
              </w:rPr>
              <w:t>项目名称</w:t>
            </w:r>
          </w:p>
        </w:tc>
        <w:tc>
          <w:tcPr>
            <w:tcW w:w="6988" w:type="dxa"/>
            <w:vAlign w:val="center"/>
          </w:tcPr>
          <w:p>
            <w:pPr>
              <w:adjustRightInd w:val="0"/>
              <w:snapToGrid w:val="0"/>
              <w:spacing w:line="360" w:lineRule="auto"/>
            </w:pPr>
            <w:bookmarkStart w:id="40" w:name="_Hlk131410212"/>
            <w:r>
              <w:rPr>
                <w:rFonts w:hint="eastAsia"/>
              </w:rPr>
              <w:t>中英人寿保险有限公司个人营销渠道2022年度高峰会项目标包</w:t>
            </w:r>
            <w:r>
              <w:t>2</w:t>
            </w:r>
            <w:r>
              <w:rPr>
                <w:rFonts w:hint="eastAsia"/>
              </w:rPr>
              <w:t>-会务</w:t>
            </w:r>
            <w:bookmarkEnd w:id="4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6" w:hRule="atLeast"/>
          <w:jc w:val="center"/>
        </w:trPr>
        <w:tc>
          <w:tcPr>
            <w:tcW w:w="701" w:type="dxa"/>
            <w:vAlign w:val="center"/>
          </w:tcPr>
          <w:p>
            <w:pPr>
              <w:adjustRightInd w:val="0"/>
              <w:snapToGrid w:val="0"/>
              <w:spacing w:line="360" w:lineRule="auto"/>
              <w:jc w:val="center"/>
            </w:pPr>
            <w:r>
              <w:rPr>
                <w:rFonts w:hint="eastAsia"/>
              </w:rPr>
              <w:t>2</w:t>
            </w:r>
          </w:p>
        </w:tc>
        <w:tc>
          <w:tcPr>
            <w:tcW w:w="1416" w:type="dxa"/>
            <w:vAlign w:val="center"/>
          </w:tcPr>
          <w:p>
            <w:pPr>
              <w:adjustRightInd w:val="0"/>
              <w:snapToGrid w:val="0"/>
              <w:spacing w:line="360" w:lineRule="auto"/>
              <w:jc w:val="center"/>
            </w:pPr>
            <w:r>
              <w:rPr>
                <w:rFonts w:hint="eastAsia"/>
              </w:rPr>
              <w:t>服务地点</w:t>
            </w:r>
          </w:p>
        </w:tc>
        <w:tc>
          <w:tcPr>
            <w:tcW w:w="6988" w:type="dxa"/>
            <w:vAlign w:val="center"/>
          </w:tcPr>
          <w:p>
            <w:pPr>
              <w:adjustRightInd w:val="0"/>
              <w:snapToGrid w:val="0"/>
              <w:spacing w:line="360" w:lineRule="auto"/>
            </w:pPr>
            <w:r>
              <w:rPr>
                <w:rFonts w:hint="eastAsia"/>
              </w:rPr>
              <w:t>甲方确认的为准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3" w:hRule="atLeast"/>
          <w:jc w:val="center"/>
        </w:trPr>
        <w:tc>
          <w:tcPr>
            <w:tcW w:w="701" w:type="dxa"/>
            <w:vAlign w:val="center"/>
          </w:tcPr>
          <w:p>
            <w:pPr>
              <w:adjustRightInd w:val="0"/>
              <w:snapToGrid w:val="0"/>
              <w:spacing w:line="360" w:lineRule="auto"/>
              <w:jc w:val="center"/>
            </w:pPr>
            <w:r>
              <w:rPr>
                <w:rFonts w:hint="eastAsia"/>
              </w:rPr>
              <w:t>3</w:t>
            </w:r>
          </w:p>
        </w:tc>
        <w:tc>
          <w:tcPr>
            <w:tcW w:w="1416" w:type="dxa"/>
            <w:vAlign w:val="center"/>
          </w:tcPr>
          <w:p>
            <w:pPr>
              <w:adjustRightInd w:val="0"/>
              <w:snapToGrid w:val="0"/>
              <w:spacing w:line="360" w:lineRule="auto"/>
              <w:jc w:val="center"/>
              <w:rPr>
                <w:bCs/>
              </w:rPr>
            </w:pPr>
            <w:r>
              <w:rPr>
                <w:rFonts w:hint="eastAsia"/>
                <w:bCs/>
              </w:rPr>
              <w:t>质量要求</w:t>
            </w:r>
          </w:p>
        </w:tc>
        <w:tc>
          <w:tcPr>
            <w:tcW w:w="6988" w:type="dxa"/>
            <w:vAlign w:val="center"/>
          </w:tcPr>
          <w:p>
            <w:pPr>
              <w:adjustRightInd w:val="0"/>
              <w:snapToGrid w:val="0"/>
              <w:spacing w:line="360" w:lineRule="auto"/>
              <w:rPr>
                <w:bCs/>
              </w:rPr>
            </w:pPr>
            <w:r>
              <w:rPr>
                <w:rFonts w:hint="eastAsia"/>
                <w:bCs/>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49" w:hRule="exact"/>
          <w:jc w:val="center"/>
        </w:trPr>
        <w:tc>
          <w:tcPr>
            <w:tcW w:w="701" w:type="dxa"/>
            <w:vAlign w:val="center"/>
          </w:tcPr>
          <w:p>
            <w:pPr>
              <w:adjustRightInd w:val="0"/>
              <w:snapToGrid w:val="0"/>
              <w:spacing w:line="360" w:lineRule="auto"/>
              <w:jc w:val="center"/>
              <w:rPr>
                <w:bCs/>
              </w:rPr>
            </w:pPr>
            <w:r>
              <w:rPr>
                <w:rFonts w:hint="eastAsia"/>
                <w:bCs/>
              </w:rPr>
              <w:t>4</w:t>
            </w:r>
          </w:p>
        </w:tc>
        <w:tc>
          <w:tcPr>
            <w:tcW w:w="1416" w:type="dxa"/>
            <w:vAlign w:val="center"/>
          </w:tcPr>
          <w:p>
            <w:pPr>
              <w:adjustRightInd w:val="0"/>
              <w:snapToGrid w:val="0"/>
              <w:spacing w:line="360" w:lineRule="auto"/>
              <w:jc w:val="center"/>
              <w:rPr>
                <w:bCs/>
              </w:rPr>
            </w:pPr>
            <w:r>
              <w:rPr>
                <w:rFonts w:hint="eastAsia"/>
                <w:bCs/>
              </w:rPr>
              <w:t>项目概况</w:t>
            </w:r>
          </w:p>
        </w:tc>
        <w:tc>
          <w:tcPr>
            <w:tcW w:w="6988" w:type="dxa"/>
            <w:vAlign w:val="center"/>
          </w:tcPr>
          <w:p>
            <w:pPr>
              <w:pStyle w:val="2"/>
              <w:spacing w:line="360" w:lineRule="auto"/>
              <w:rPr>
                <w:color w:val="auto"/>
              </w:rPr>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6" w:hRule="atLeast"/>
          <w:jc w:val="center"/>
        </w:trPr>
        <w:tc>
          <w:tcPr>
            <w:tcW w:w="701" w:type="dxa"/>
            <w:vAlign w:val="center"/>
          </w:tcPr>
          <w:p>
            <w:pPr>
              <w:adjustRightInd w:val="0"/>
              <w:snapToGrid w:val="0"/>
              <w:spacing w:line="360" w:lineRule="auto"/>
              <w:jc w:val="center"/>
              <w:rPr>
                <w:bCs/>
              </w:rPr>
            </w:pPr>
            <w:r>
              <w:rPr>
                <w:rFonts w:hint="eastAsia"/>
                <w:bCs/>
              </w:rPr>
              <w:t>5</w:t>
            </w:r>
          </w:p>
        </w:tc>
        <w:tc>
          <w:tcPr>
            <w:tcW w:w="1416" w:type="dxa"/>
            <w:vAlign w:val="center"/>
          </w:tcPr>
          <w:p>
            <w:pPr>
              <w:adjustRightInd w:val="0"/>
              <w:snapToGrid w:val="0"/>
              <w:spacing w:line="360" w:lineRule="auto"/>
              <w:jc w:val="center"/>
              <w:rPr>
                <w:bCs/>
              </w:rPr>
            </w:pPr>
            <w:r>
              <w:rPr>
                <w:rFonts w:hint="eastAsia"/>
              </w:rPr>
              <w:t>服务期限</w:t>
            </w:r>
          </w:p>
        </w:tc>
        <w:tc>
          <w:tcPr>
            <w:tcW w:w="6988" w:type="dxa"/>
            <w:vAlign w:val="center"/>
          </w:tcPr>
          <w:p>
            <w:pPr>
              <w:adjustRightInd w:val="0"/>
              <w:snapToGrid w:val="0"/>
              <w:spacing w:line="360" w:lineRule="auto"/>
              <w:rPr>
                <w:bCs/>
              </w:rPr>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7" w:hRule="atLeast"/>
          <w:jc w:val="center"/>
        </w:trPr>
        <w:tc>
          <w:tcPr>
            <w:tcW w:w="701" w:type="dxa"/>
            <w:vAlign w:val="center"/>
          </w:tcPr>
          <w:p>
            <w:pPr>
              <w:adjustRightInd w:val="0"/>
              <w:snapToGrid w:val="0"/>
              <w:spacing w:line="360" w:lineRule="auto"/>
              <w:jc w:val="center"/>
              <w:rPr>
                <w:bCs/>
              </w:rPr>
            </w:pPr>
            <w:r>
              <w:rPr>
                <w:rFonts w:hint="eastAsia"/>
                <w:bCs/>
              </w:rPr>
              <w:t>6</w:t>
            </w:r>
          </w:p>
        </w:tc>
        <w:tc>
          <w:tcPr>
            <w:tcW w:w="1416" w:type="dxa"/>
            <w:vAlign w:val="center"/>
          </w:tcPr>
          <w:p>
            <w:pPr>
              <w:adjustRightInd w:val="0"/>
              <w:snapToGrid w:val="0"/>
              <w:spacing w:line="360" w:lineRule="auto"/>
              <w:jc w:val="center"/>
              <w:rPr>
                <w:bCs/>
              </w:rPr>
            </w:pPr>
            <w:r>
              <w:rPr>
                <w:rFonts w:hint="eastAsia"/>
                <w:bCs/>
              </w:rPr>
              <w:t>资金来源</w:t>
            </w:r>
          </w:p>
        </w:tc>
        <w:tc>
          <w:tcPr>
            <w:tcW w:w="6988" w:type="dxa"/>
            <w:vAlign w:val="center"/>
          </w:tcPr>
          <w:p>
            <w:pPr>
              <w:adjustRightInd w:val="0"/>
              <w:snapToGrid w:val="0"/>
              <w:spacing w:line="360" w:lineRule="auto"/>
              <w:rPr>
                <w:bCs/>
              </w:rPr>
            </w:pPr>
            <w:r>
              <w:rPr>
                <w:rFonts w:hint="eastAsia"/>
              </w:rPr>
              <w:t>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41" w:hRule="atLeast"/>
          <w:jc w:val="center"/>
        </w:trPr>
        <w:tc>
          <w:tcPr>
            <w:tcW w:w="701" w:type="dxa"/>
            <w:vAlign w:val="center"/>
          </w:tcPr>
          <w:p>
            <w:pPr>
              <w:adjustRightInd w:val="0"/>
              <w:snapToGrid w:val="0"/>
              <w:spacing w:line="360" w:lineRule="auto"/>
              <w:jc w:val="center"/>
              <w:rPr>
                <w:bCs/>
              </w:rPr>
            </w:pPr>
            <w:r>
              <w:rPr>
                <w:rFonts w:hint="eastAsia"/>
                <w:bCs/>
              </w:rPr>
              <w:t>7</w:t>
            </w:r>
          </w:p>
        </w:tc>
        <w:tc>
          <w:tcPr>
            <w:tcW w:w="1416" w:type="dxa"/>
            <w:vAlign w:val="center"/>
          </w:tcPr>
          <w:p>
            <w:pPr>
              <w:adjustRightInd w:val="0"/>
              <w:snapToGrid w:val="0"/>
              <w:spacing w:line="360" w:lineRule="auto"/>
              <w:jc w:val="center"/>
              <w:rPr>
                <w:bCs/>
              </w:rPr>
            </w:pPr>
            <w:r>
              <w:rPr>
                <w:rFonts w:hint="eastAsia"/>
                <w:bCs/>
              </w:rPr>
              <w:t>供应商资格</w:t>
            </w:r>
          </w:p>
        </w:tc>
        <w:tc>
          <w:tcPr>
            <w:tcW w:w="6988" w:type="dxa"/>
            <w:vAlign w:val="center"/>
          </w:tcPr>
          <w:p>
            <w:pPr>
              <w:adjustRightInd w:val="0"/>
              <w:snapToGrid w:val="0"/>
              <w:spacing w:line="360" w:lineRule="auto"/>
            </w:pPr>
            <w:r>
              <w:rPr>
                <w:rFonts w:hint="eastAsia"/>
              </w:rPr>
              <w:t>详见谈判公告“3</w:t>
            </w:r>
            <w:r>
              <w:t>.</w:t>
            </w:r>
            <w:r>
              <w:rPr>
                <w:rFonts w:hint="eastAsia"/>
              </w:rPr>
              <w:t>申请人资格要求”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5" w:hRule="atLeast"/>
          <w:jc w:val="center"/>
        </w:trPr>
        <w:tc>
          <w:tcPr>
            <w:tcW w:w="701" w:type="dxa"/>
            <w:vAlign w:val="center"/>
          </w:tcPr>
          <w:p>
            <w:pPr>
              <w:adjustRightInd w:val="0"/>
              <w:snapToGrid w:val="0"/>
              <w:spacing w:line="360" w:lineRule="auto"/>
              <w:jc w:val="center"/>
              <w:rPr>
                <w:bCs/>
              </w:rPr>
            </w:pPr>
            <w:r>
              <w:rPr>
                <w:rFonts w:hint="eastAsia"/>
                <w:bCs/>
              </w:rPr>
              <w:t>8</w:t>
            </w:r>
          </w:p>
        </w:tc>
        <w:tc>
          <w:tcPr>
            <w:tcW w:w="1416" w:type="dxa"/>
            <w:vAlign w:val="center"/>
          </w:tcPr>
          <w:p>
            <w:pPr>
              <w:adjustRightInd w:val="0"/>
              <w:snapToGrid w:val="0"/>
              <w:spacing w:line="360" w:lineRule="auto"/>
              <w:jc w:val="center"/>
              <w:rPr>
                <w:bCs/>
              </w:rPr>
            </w:pPr>
            <w:r>
              <w:rPr>
                <w:rFonts w:hint="eastAsia"/>
                <w:bCs/>
              </w:rPr>
              <w:t>现场踏勘</w:t>
            </w:r>
          </w:p>
        </w:tc>
        <w:tc>
          <w:tcPr>
            <w:tcW w:w="6988" w:type="dxa"/>
            <w:vAlign w:val="center"/>
          </w:tcPr>
          <w:p>
            <w:pPr>
              <w:adjustRightInd w:val="0"/>
              <w:snapToGrid w:val="0"/>
              <w:spacing w:line="360" w:lineRule="auto"/>
              <w:rPr>
                <w:bCs/>
              </w:rPr>
            </w:pPr>
            <w:r>
              <w:rPr>
                <w:rFonts w:hint="eastAsia"/>
                <w:bCs/>
              </w:rPr>
              <w:t>本项目不组织踏勘现场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8" w:hRule="atLeast"/>
          <w:jc w:val="center"/>
        </w:trPr>
        <w:tc>
          <w:tcPr>
            <w:tcW w:w="701" w:type="dxa"/>
            <w:vAlign w:val="center"/>
          </w:tcPr>
          <w:p>
            <w:pPr>
              <w:adjustRightInd w:val="0"/>
              <w:snapToGrid w:val="0"/>
              <w:spacing w:line="360" w:lineRule="auto"/>
              <w:jc w:val="center"/>
              <w:rPr>
                <w:bCs/>
              </w:rPr>
            </w:pPr>
            <w:r>
              <w:rPr>
                <w:rFonts w:hint="eastAsia"/>
                <w:bCs/>
              </w:rPr>
              <w:t>9</w:t>
            </w:r>
          </w:p>
        </w:tc>
        <w:tc>
          <w:tcPr>
            <w:tcW w:w="1416" w:type="dxa"/>
            <w:vAlign w:val="center"/>
          </w:tcPr>
          <w:p>
            <w:pPr>
              <w:adjustRightInd w:val="0"/>
              <w:snapToGrid w:val="0"/>
              <w:spacing w:line="360" w:lineRule="auto"/>
              <w:jc w:val="center"/>
              <w:rPr>
                <w:bCs/>
              </w:rPr>
            </w:pPr>
            <w:r>
              <w:rPr>
                <w:rFonts w:hint="eastAsia"/>
                <w:bCs/>
              </w:rPr>
              <w:t>报价方式</w:t>
            </w:r>
          </w:p>
        </w:tc>
        <w:tc>
          <w:tcPr>
            <w:tcW w:w="6988" w:type="dxa"/>
            <w:vAlign w:val="center"/>
          </w:tcPr>
          <w:p>
            <w:pPr>
              <w:adjustRightInd w:val="0"/>
              <w:snapToGrid w:val="0"/>
              <w:spacing w:line="360" w:lineRule="auto"/>
              <w:rPr>
                <w:bCs/>
              </w:rPr>
            </w:pPr>
            <w:r>
              <w:rPr>
                <w:rFonts w:hint="eastAsia"/>
                <w:bCs/>
              </w:rPr>
              <w:t>固定总价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23" w:hRule="atLeast"/>
          <w:jc w:val="center"/>
        </w:trPr>
        <w:tc>
          <w:tcPr>
            <w:tcW w:w="701" w:type="dxa"/>
            <w:vAlign w:val="center"/>
          </w:tcPr>
          <w:p>
            <w:pPr>
              <w:adjustRightInd w:val="0"/>
              <w:snapToGrid w:val="0"/>
              <w:spacing w:line="360" w:lineRule="auto"/>
              <w:jc w:val="center"/>
              <w:rPr>
                <w:bCs/>
              </w:rPr>
            </w:pPr>
            <w:r>
              <w:rPr>
                <w:rFonts w:hint="eastAsia"/>
                <w:bCs/>
              </w:rPr>
              <w:t>10</w:t>
            </w:r>
          </w:p>
        </w:tc>
        <w:tc>
          <w:tcPr>
            <w:tcW w:w="1416" w:type="dxa"/>
            <w:vAlign w:val="center"/>
          </w:tcPr>
          <w:p>
            <w:pPr>
              <w:adjustRightInd w:val="0"/>
              <w:snapToGrid w:val="0"/>
              <w:spacing w:line="360" w:lineRule="auto"/>
              <w:jc w:val="center"/>
              <w:rPr>
                <w:bCs/>
              </w:rPr>
            </w:pPr>
            <w:r>
              <w:rPr>
                <w:rFonts w:hint="eastAsia"/>
                <w:bCs/>
              </w:rPr>
              <w:t>报价有效期</w:t>
            </w:r>
          </w:p>
        </w:tc>
        <w:tc>
          <w:tcPr>
            <w:tcW w:w="6988" w:type="dxa"/>
            <w:vAlign w:val="center"/>
          </w:tcPr>
          <w:p>
            <w:pPr>
              <w:adjustRightInd w:val="0"/>
              <w:snapToGrid w:val="0"/>
              <w:spacing w:line="360" w:lineRule="auto"/>
              <w:rPr>
                <w:bCs/>
              </w:rPr>
            </w:pPr>
            <w:r>
              <w:rPr>
                <w:rFonts w:hint="eastAsia"/>
                <w:bCs/>
                <w:u w:val="single"/>
              </w:rPr>
              <w:t xml:space="preserve"> 自响应文件提交截止之日起90</w:t>
            </w:r>
            <w:r>
              <w:rPr>
                <w:rFonts w:hint="eastAsia"/>
                <w:bCs/>
              </w:rPr>
              <w:t>日历日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1" w:hRule="atLeast"/>
          <w:jc w:val="center"/>
        </w:trPr>
        <w:tc>
          <w:tcPr>
            <w:tcW w:w="701" w:type="dxa"/>
            <w:vAlign w:val="center"/>
          </w:tcPr>
          <w:p>
            <w:pPr>
              <w:adjustRightInd w:val="0"/>
              <w:snapToGrid w:val="0"/>
              <w:spacing w:line="360" w:lineRule="auto"/>
              <w:jc w:val="center"/>
              <w:rPr>
                <w:bCs/>
              </w:rPr>
            </w:pPr>
            <w:r>
              <w:rPr>
                <w:rFonts w:hint="eastAsia"/>
                <w:bCs/>
              </w:rPr>
              <w:t>11</w:t>
            </w:r>
          </w:p>
        </w:tc>
        <w:tc>
          <w:tcPr>
            <w:tcW w:w="1416" w:type="dxa"/>
            <w:vAlign w:val="center"/>
          </w:tcPr>
          <w:p>
            <w:pPr>
              <w:adjustRightInd w:val="0"/>
              <w:snapToGrid w:val="0"/>
              <w:spacing w:line="360" w:lineRule="auto"/>
              <w:jc w:val="center"/>
              <w:rPr>
                <w:bCs/>
              </w:rPr>
            </w:pPr>
            <w:r>
              <w:rPr>
                <w:rFonts w:hint="eastAsia"/>
                <w:bCs/>
              </w:rPr>
              <w:t>响应保证金</w:t>
            </w:r>
          </w:p>
        </w:tc>
        <w:tc>
          <w:tcPr>
            <w:tcW w:w="6988" w:type="dxa"/>
            <w:vAlign w:val="center"/>
          </w:tcPr>
          <w:p>
            <w:pPr>
              <w:spacing w:line="360" w:lineRule="auto"/>
              <w:rPr>
                <w:bCs/>
              </w:rPr>
            </w:pPr>
            <w:r>
              <w:rPr>
                <w:rFonts w:hint="eastAsia"/>
                <w:b/>
              </w:rPr>
              <w:t>响应保证金：</w:t>
            </w:r>
            <w:r>
              <w:rPr>
                <w:b/>
                <w:u w:val="single"/>
              </w:rPr>
              <w:t>20000</w:t>
            </w:r>
            <w:r>
              <w:rPr>
                <w:rFonts w:hint="eastAsia"/>
                <w:b/>
              </w:rPr>
              <w:t>元</w:t>
            </w:r>
            <w:r>
              <w:rPr>
                <w:rFonts w:hint="eastAsia"/>
                <w:bCs/>
              </w:rPr>
              <w:t>。</w:t>
            </w:r>
          </w:p>
          <w:p>
            <w:pPr>
              <w:spacing w:line="360" w:lineRule="auto"/>
              <w:rPr>
                <w:bCs/>
              </w:rPr>
            </w:pPr>
            <w:r>
              <w:rPr>
                <w:rFonts w:hint="eastAsia"/>
                <w:bCs/>
              </w:rPr>
              <w:t>开户银行及账号：</w:t>
            </w:r>
          </w:p>
          <w:p>
            <w:pPr>
              <w:spacing w:line="360" w:lineRule="auto"/>
              <w:rPr>
                <w:bCs/>
              </w:rPr>
            </w:pPr>
            <w:r>
              <w:rPr>
                <w:rFonts w:hint="eastAsia"/>
                <w:bCs/>
              </w:rPr>
              <w:t xml:space="preserve">户 </w:t>
            </w:r>
            <w:r>
              <w:rPr>
                <w:bCs/>
              </w:rPr>
              <w:t xml:space="preserve">   </w:t>
            </w:r>
            <w:r>
              <w:rPr>
                <w:rFonts w:hint="eastAsia"/>
                <w:bCs/>
              </w:rPr>
              <w:t>名：中国远东国际招标有限公司</w:t>
            </w:r>
          </w:p>
          <w:p>
            <w:pPr>
              <w:spacing w:line="360" w:lineRule="auto"/>
              <w:rPr>
                <w:bCs/>
              </w:rPr>
            </w:pPr>
            <w:r>
              <w:rPr>
                <w:rFonts w:hint="eastAsia"/>
                <w:bCs/>
              </w:rPr>
              <w:t>开户银行：中国建设银行股份有限公司北京玉泉支行</w:t>
            </w:r>
          </w:p>
          <w:p>
            <w:pPr>
              <w:spacing w:line="360" w:lineRule="auto"/>
              <w:rPr>
                <w:bCs/>
              </w:rPr>
            </w:pPr>
            <w:r>
              <w:rPr>
                <w:rFonts w:hint="eastAsia"/>
                <w:bCs/>
              </w:rPr>
              <w:t xml:space="preserve">帐 </w:t>
            </w:r>
            <w:r>
              <w:rPr>
                <w:bCs/>
              </w:rPr>
              <w:t xml:space="preserve">   </w:t>
            </w:r>
            <w:r>
              <w:rPr>
                <w:rFonts w:hint="eastAsia"/>
                <w:bCs/>
              </w:rPr>
              <w:t>号：6232810010000261182</w:t>
            </w:r>
          </w:p>
          <w:p>
            <w:pPr>
              <w:spacing w:line="360" w:lineRule="auto"/>
              <w:rPr>
                <w:bCs/>
              </w:rPr>
            </w:pPr>
            <w:r>
              <w:rPr>
                <w:rFonts w:hint="eastAsia"/>
                <w:bCs/>
              </w:rPr>
              <w:t>备注：响应保证金明须从供应商基本帐户转出。请供应商在汇款时务必注明谈判项目的项目编号，以便采购代理机构辨明款项。因款项标示用途不明导致谈判无效等后果由供应商自行承担。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701" w:type="dxa"/>
            <w:vAlign w:val="center"/>
          </w:tcPr>
          <w:p>
            <w:pPr>
              <w:adjustRightInd w:val="0"/>
              <w:snapToGrid w:val="0"/>
              <w:spacing w:line="360" w:lineRule="auto"/>
              <w:jc w:val="center"/>
              <w:rPr>
                <w:bCs/>
              </w:rPr>
            </w:pPr>
            <w:r>
              <w:rPr>
                <w:rFonts w:hint="eastAsia"/>
                <w:bCs/>
              </w:rPr>
              <w:t>12</w:t>
            </w:r>
          </w:p>
        </w:tc>
        <w:tc>
          <w:tcPr>
            <w:tcW w:w="1416" w:type="dxa"/>
            <w:vAlign w:val="center"/>
          </w:tcPr>
          <w:p>
            <w:pPr>
              <w:spacing w:line="360" w:lineRule="auto"/>
              <w:jc w:val="center"/>
              <w:rPr>
                <w:bCs/>
              </w:rPr>
            </w:pPr>
            <w:r>
              <w:rPr>
                <w:rFonts w:hint="eastAsia"/>
                <w:bCs/>
              </w:rPr>
              <w:t>供应商提出问题的截止时间</w:t>
            </w:r>
          </w:p>
        </w:tc>
        <w:tc>
          <w:tcPr>
            <w:tcW w:w="6988" w:type="dxa"/>
            <w:vAlign w:val="center"/>
          </w:tcPr>
          <w:p>
            <w:pPr>
              <w:spacing w:line="360" w:lineRule="auto"/>
              <w:rPr>
                <w:bCs/>
              </w:rPr>
            </w:pPr>
            <w:r>
              <w:rPr>
                <w:rFonts w:hint="eastAsia"/>
                <w:bCs/>
              </w:rPr>
              <w:t>递交响应文件截止之日2天前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1" w:hRule="atLeast"/>
          <w:jc w:val="center"/>
        </w:trPr>
        <w:tc>
          <w:tcPr>
            <w:tcW w:w="701" w:type="dxa"/>
            <w:vAlign w:val="center"/>
          </w:tcPr>
          <w:p>
            <w:pPr>
              <w:adjustRightInd w:val="0"/>
              <w:snapToGrid w:val="0"/>
              <w:spacing w:line="360" w:lineRule="auto"/>
              <w:jc w:val="center"/>
              <w:rPr>
                <w:bCs/>
              </w:rPr>
            </w:pPr>
            <w:r>
              <w:rPr>
                <w:rFonts w:hint="eastAsia"/>
                <w:bCs/>
              </w:rPr>
              <w:t>13</w:t>
            </w:r>
          </w:p>
        </w:tc>
        <w:tc>
          <w:tcPr>
            <w:tcW w:w="1416" w:type="dxa"/>
            <w:vAlign w:val="center"/>
          </w:tcPr>
          <w:p>
            <w:pPr>
              <w:spacing w:line="360" w:lineRule="auto"/>
              <w:jc w:val="center"/>
              <w:rPr>
                <w:bCs/>
              </w:rPr>
            </w:pPr>
            <w:r>
              <w:rPr>
                <w:rFonts w:hint="eastAsia"/>
                <w:bCs/>
              </w:rPr>
              <w:t>采购人书面澄清的时间</w:t>
            </w:r>
          </w:p>
        </w:tc>
        <w:tc>
          <w:tcPr>
            <w:tcW w:w="6988" w:type="dxa"/>
            <w:vAlign w:val="center"/>
          </w:tcPr>
          <w:p>
            <w:pPr>
              <w:spacing w:line="360" w:lineRule="auto"/>
              <w:rPr>
                <w:bCs/>
              </w:rPr>
            </w:pPr>
            <w:r>
              <w:rPr>
                <w:rFonts w:hint="eastAsia"/>
                <w:bCs/>
              </w:rPr>
              <w:t>递交响应文件截止之日2天前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1" w:hRule="atLeast"/>
          <w:jc w:val="center"/>
        </w:trPr>
        <w:tc>
          <w:tcPr>
            <w:tcW w:w="701" w:type="dxa"/>
            <w:vAlign w:val="center"/>
          </w:tcPr>
          <w:p>
            <w:pPr>
              <w:adjustRightInd w:val="0"/>
              <w:snapToGrid w:val="0"/>
              <w:spacing w:line="360" w:lineRule="auto"/>
              <w:jc w:val="center"/>
              <w:rPr>
                <w:bCs/>
              </w:rPr>
            </w:pPr>
            <w:r>
              <w:rPr>
                <w:rFonts w:hint="eastAsia"/>
                <w:bCs/>
              </w:rPr>
              <w:t>14</w:t>
            </w:r>
          </w:p>
        </w:tc>
        <w:tc>
          <w:tcPr>
            <w:tcW w:w="1416" w:type="dxa"/>
            <w:vAlign w:val="center"/>
          </w:tcPr>
          <w:p>
            <w:pPr>
              <w:adjustRightInd w:val="0"/>
              <w:snapToGrid w:val="0"/>
              <w:spacing w:line="360" w:lineRule="auto"/>
              <w:jc w:val="center"/>
              <w:rPr>
                <w:bCs/>
              </w:rPr>
            </w:pPr>
            <w:r>
              <w:rPr>
                <w:rFonts w:hint="eastAsia"/>
                <w:bCs/>
              </w:rPr>
              <w:t>响应文件</w:t>
            </w:r>
          </w:p>
          <w:p>
            <w:pPr>
              <w:adjustRightInd w:val="0"/>
              <w:snapToGrid w:val="0"/>
              <w:spacing w:line="360" w:lineRule="auto"/>
              <w:jc w:val="center"/>
              <w:rPr>
                <w:bCs/>
              </w:rPr>
            </w:pPr>
            <w:r>
              <w:rPr>
                <w:rFonts w:hint="eastAsia"/>
                <w:bCs/>
              </w:rPr>
              <w:t>份数</w:t>
            </w:r>
          </w:p>
        </w:tc>
        <w:tc>
          <w:tcPr>
            <w:tcW w:w="6988" w:type="dxa"/>
            <w:vAlign w:val="center"/>
          </w:tcPr>
          <w:p>
            <w:pPr>
              <w:adjustRightInd w:val="0"/>
              <w:snapToGrid w:val="0"/>
              <w:spacing w:line="360" w:lineRule="auto"/>
              <w:ind w:left="31" w:hanging="31" w:hangingChars="13"/>
              <w:rPr>
                <w:b/>
              </w:rPr>
            </w:pPr>
            <w:r>
              <w:rPr>
                <w:rFonts w:hint="eastAsia"/>
                <w:b/>
              </w:rPr>
              <w:t>正本一份，副本二份</w:t>
            </w:r>
            <w:r>
              <w:rPr>
                <w:b/>
              </w:rPr>
              <w:t>,</w:t>
            </w:r>
            <w:r>
              <w:rPr>
                <w:rFonts w:hint="eastAsia"/>
                <w:b/>
              </w:rPr>
              <w:t>为不可拆卸的胶装, 响应文件电子文档（包括但不限于Word/Excel格式、P</w:t>
            </w:r>
            <w:r>
              <w:rPr>
                <w:b/>
              </w:rPr>
              <w:t>DF</w:t>
            </w:r>
            <w:r>
              <w:rPr>
                <w:rFonts w:hint="eastAsia"/>
                <w:b/>
              </w:rPr>
              <w:t>响应文件盖章扫描件，</w:t>
            </w:r>
            <w:r>
              <w:rPr>
                <w:b/>
              </w:rPr>
              <w:t>U</w:t>
            </w:r>
            <w:r>
              <w:rPr>
                <w:rFonts w:hint="eastAsia"/>
                <w:b/>
              </w:rPr>
              <w:t>盘）1份。（电子文档必须注明供应商名称）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1" w:hRule="atLeast"/>
          <w:jc w:val="center"/>
        </w:trPr>
        <w:tc>
          <w:tcPr>
            <w:tcW w:w="701" w:type="dxa"/>
            <w:vAlign w:val="center"/>
          </w:tcPr>
          <w:p>
            <w:pPr>
              <w:adjustRightInd w:val="0"/>
              <w:snapToGrid w:val="0"/>
              <w:spacing w:line="360" w:lineRule="auto"/>
              <w:jc w:val="center"/>
              <w:rPr>
                <w:bCs/>
              </w:rPr>
            </w:pPr>
            <w:r>
              <w:rPr>
                <w:rFonts w:hint="eastAsia"/>
                <w:bCs/>
              </w:rPr>
              <w:t>15</w:t>
            </w:r>
          </w:p>
        </w:tc>
        <w:tc>
          <w:tcPr>
            <w:tcW w:w="1416" w:type="dxa"/>
            <w:vAlign w:val="center"/>
          </w:tcPr>
          <w:p>
            <w:pPr>
              <w:adjustRightInd w:val="0"/>
              <w:snapToGrid w:val="0"/>
              <w:spacing w:line="360" w:lineRule="auto"/>
              <w:jc w:val="center"/>
              <w:rPr>
                <w:bCs/>
              </w:rPr>
            </w:pPr>
            <w:r>
              <w:rPr>
                <w:rFonts w:hint="eastAsia"/>
                <w:bCs/>
              </w:rPr>
              <w:t>响应文件递交地点及截止时间</w:t>
            </w:r>
          </w:p>
        </w:tc>
        <w:tc>
          <w:tcPr>
            <w:tcW w:w="6988" w:type="dxa"/>
            <w:vAlign w:val="center"/>
          </w:tcPr>
          <w:p>
            <w:pPr>
              <w:adjustRightInd w:val="0"/>
              <w:snapToGrid w:val="0"/>
              <w:spacing w:line="360" w:lineRule="auto"/>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9" w:hRule="atLeast"/>
          <w:jc w:val="center"/>
        </w:trPr>
        <w:tc>
          <w:tcPr>
            <w:tcW w:w="701" w:type="dxa"/>
            <w:vAlign w:val="center"/>
          </w:tcPr>
          <w:p>
            <w:pPr>
              <w:adjustRightInd w:val="0"/>
              <w:snapToGrid w:val="0"/>
              <w:spacing w:line="360" w:lineRule="auto"/>
              <w:jc w:val="center"/>
              <w:rPr>
                <w:bCs/>
              </w:rPr>
            </w:pPr>
            <w:r>
              <w:rPr>
                <w:rFonts w:hint="eastAsia"/>
                <w:bCs/>
              </w:rPr>
              <w:t>16</w:t>
            </w:r>
          </w:p>
        </w:tc>
        <w:tc>
          <w:tcPr>
            <w:tcW w:w="1416" w:type="dxa"/>
            <w:vAlign w:val="center"/>
          </w:tcPr>
          <w:p>
            <w:pPr>
              <w:adjustRightInd w:val="0"/>
              <w:snapToGrid w:val="0"/>
              <w:spacing w:line="360" w:lineRule="auto"/>
              <w:jc w:val="center"/>
              <w:rPr>
                <w:bCs/>
              </w:rPr>
            </w:pPr>
            <w:r>
              <w:rPr>
                <w:rFonts w:hint="eastAsia"/>
                <w:bCs/>
              </w:rPr>
              <w:t>谈判形式及时间</w:t>
            </w:r>
          </w:p>
        </w:tc>
        <w:tc>
          <w:tcPr>
            <w:tcW w:w="6988" w:type="dxa"/>
            <w:vAlign w:val="center"/>
          </w:tcPr>
          <w:p>
            <w:pPr>
              <w:adjustRightInd w:val="0"/>
              <w:snapToGrid w:val="0"/>
              <w:spacing w:line="360" w:lineRule="auto"/>
              <w:rPr>
                <w:bCs/>
              </w:rPr>
            </w:pPr>
            <w:r>
              <w:rPr>
                <w:rFonts w:hint="eastAsia"/>
                <w:bCs/>
              </w:rPr>
              <w:t>形式：现场谈判。</w:t>
            </w:r>
          </w:p>
          <w:p>
            <w:pPr>
              <w:adjustRightInd w:val="0"/>
              <w:snapToGrid w:val="0"/>
              <w:spacing w:line="360" w:lineRule="auto"/>
              <w:rPr>
                <w:bCs/>
              </w:rPr>
            </w:pPr>
            <w:r>
              <w:rPr>
                <w:rFonts w:hint="eastAsia"/>
                <w:bCs/>
              </w:rPr>
              <w:t>时间：同响应文件递交截止时间。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7" w:hRule="atLeast"/>
          <w:jc w:val="center"/>
        </w:trPr>
        <w:tc>
          <w:tcPr>
            <w:tcW w:w="701" w:type="dxa"/>
            <w:vAlign w:val="center"/>
          </w:tcPr>
          <w:p>
            <w:pPr>
              <w:adjustRightInd w:val="0"/>
              <w:snapToGrid w:val="0"/>
              <w:spacing w:line="360" w:lineRule="auto"/>
              <w:jc w:val="center"/>
              <w:rPr>
                <w:bCs/>
              </w:rPr>
            </w:pPr>
            <w:r>
              <w:rPr>
                <w:rFonts w:hint="eastAsia"/>
                <w:bCs/>
              </w:rPr>
              <w:t>17</w:t>
            </w:r>
          </w:p>
        </w:tc>
        <w:tc>
          <w:tcPr>
            <w:tcW w:w="1416" w:type="dxa"/>
            <w:vAlign w:val="center"/>
          </w:tcPr>
          <w:p>
            <w:pPr>
              <w:adjustRightInd w:val="0"/>
              <w:snapToGrid w:val="0"/>
              <w:spacing w:line="360" w:lineRule="auto"/>
              <w:jc w:val="center"/>
              <w:rPr>
                <w:bCs/>
              </w:rPr>
            </w:pPr>
            <w:r>
              <w:rPr>
                <w:rFonts w:hint="eastAsia"/>
                <w:bCs/>
              </w:rPr>
              <w:t>谈判小组</w:t>
            </w:r>
          </w:p>
        </w:tc>
        <w:tc>
          <w:tcPr>
            <w:tcW w:w="6988" w:type="dxa"/>
            <w:vAlign w:val="center"/>
          </w:tcPr>
          <w:p>
            <w:pPr>
              <w:adjustRightInd w:val="0"/>
              <w:snapToGrid w:val="0"/>
              <w:spacing w:line="360" w:lineRule="auto"/>
              <w:rPr>
                <w:bCs/>
              </w:rPr>
            </w:pPr>
            <w:r>
              <w:rPr>
                <w:rFonts w:hint="eastAsia"/>
                <w:bCs/>
              </w:rPr>
              <w:t>谈判小组由3人组成。采购人</w:t>
            </w:r>
            <w:r>
              <w:rPr>
                <w:bCs/>
              </w:rPr>
              <w:t>1</w:t>
            </w:r>
            <w:r>
              <w:rPr>
                <w:rFonts w:hint="eastAsia"/>
                <w:bCs/>
              </w:rPr>
              <w:t>人，专家</w:t>
            </w:r>
            <w:r>
              <w:rPr>
                <w:bCs/>
              </w:rPr>
              <w:t>2</w:t>
            </w:r>
            <w:r>
              <w:rPr>
                <w:rFonts w:hint="eastAsia"/>
                <w:bCs/>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18</w:t>
            </w:r>
          </w:p>
        </w:tc>
        <w:tc>
          <w:tcPr>
            <w:tcW w:w="1416" w:type="dxa"/>
            <w:tcBorders>
              <w:top w:val="single" w:color="auto" w:sz="4" w:space="0"/>
              <w:bottom w:val="single" w:color="auto" w:sz="4" w:space="0"/>
            </w:tcBorders>
            <w:vAlign w:val="center"/>
          </w:tcPr>
          <w:p>
            <w:pPr>
              <w:adjustRightInd w:val="0"/>
              <w:snapToGrid w:val="0"/>
              <w:spacing w:line="360" w:lineRule="auto"/>
              <w:jc w:val="center"/>
              <w:rPr>
                <w:b/>
              </w:rPr>
            </w:pPr>
            <w:r>
              <w:rPr>
                <w:rFonts w:hint="eastAsia"/>
                <w:bCs/>
              </w:rPr>
              <w:t>谈判报价</w:t>
            </w:r>
          </w:p>
        </w:tc>
        <w:tc>
          <w:tcPr>
            <w:tcW w:w="6988" w:type="dxa"/>
            <w:tcBorders>
              <w:top w:val="single" w:color="auto" w:sz="4" w:space="0"/>
              <w:bottom w:val="single" w:color="auto" w:sz="4" w:space="0"/>
            </w:tcBorders>
            <w:vAlign w:val="center"/>
          </w:tcPr>
          <w:p>
            <w:pPr>
              <w:spacing w:line="360" w:lineRule="auto"/>
              <w:rPr>
                <w:b/>
              </w:rPr>
            </w:pPr>
            <w:r>
              <w:rPr>
                <w:rFonts w:hint="eastAsia"/>
                <w:b/>
              </w:rPr>
              <w:t>本次谈判采购报价可为多轮报价。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19</w:t>
            </w:r>
          </w:p>
        </w:tc>
        <w:tc>
          <w:tcPr>
            <w:tcW w:w="1416" w:type="dxa"/>
            <w:tcBorders>
              <w:top w:val="single" w:color="auto" w:sz="4" w:space="0"/>
              <w:bottom w:val="single" w:color="auto" w:sz="4" w:space="0"/>
            </w:tcBorders>
            <w:vAlign w:val="center"/>
          </w:tcPr>
          <w:p>
            <w:pPr>
              <w:spacing w:line="360" w:lineRule="auto"/>
              <w:jc w:val="center"/>
              <w:rPr>
                <w:bCs/>
              </w:rPr>
            </w:pPr>
            <w:r>
              <w:rPr>
                <w:rFonts w:hint="eastAsia"/>
                <w:bCs/>
              </w:rPr>
              <w:t>成交供应商</w:t>
            </w:r>
          </w:p>
        </w:tc>
        <w:tc>
          <w:tcPr>
            <w:tcW w:w="6988" w:type="dxa"/>
            <w:tcBorders>
              <w:top w:val="single" w:color="auto" w:sz="4" w:space="0"/>
              <w:bottom w:val="single" w:color="auto" w:sz="4" w:space="0"/>
            </w:tcBorders>
            <w:vAlign w:val="center"/>
          </w:tcPr>
          <w:p>
            <w:pPr>
              <w:spacing w:line="360" w:lineRule="auto"/>
              <w:rPr>
                <w:bCs/>
              </w:rPr>
            </w:pPr>
            <w:r>
              <w:rPr>
                <w:rFonts w:hint="eastAsia"/>
                <w:bCs/>
              </w:rPr>
              <w:t>由采购人根据综合总得分取从高到低排名前</w:t>
            </w:r>
            <w:r>
              <w:rPr>
                <w:bCs/>
              </w:rPr>
              <w:t>1名的候选成交供应商作为成交供应商。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20</w:t>
            </w:r>
          </w:p>
        </w:tc>
        <w:tc>
          <w:tcPr>
            <w:tcW w:w="1416" w:type="dxa"/>
            <w:tcBorders>
              <w:top w:val="single" w:color="auto" w:sz="4" w:space="0"/>
              <w:bottom w:val="single" w:color="auto" w:sz="4" w:space="0"/>
            </w:tcBorders>
            <w:vAlign w:val="center"/>
          </w:tcPr>
          <w:p>
            <w:pPr>
              <w:spacing w:line="360" w:lineRule="auto"/>
              <w:jc w:val="center"/>
              <w:rPr>
                <w:bCs/>
              </w:rPr>
            </w:pPr>
            <w:r>
              <w:rPr>
                <w:rFonts w:hint="eastAsia"/>
                <w:bCs/>
              </w:rPr>
              <w:t>履约保证金</w:t>
            </w:r>
          </w:p>
        </w:tc>
        <w:tc>
          <w:tcPr>
            <w:tcW w:w="6988" w:type="dxa"/>
            <w:tcBorders>
              <w:top w:val="single" w:color="auto" w:sz="4" w:space="0"/>
              <w:bottom w:val="single" w:color="auto" w:sz="4" w:space="0"/>
            </w:tcBorders>
            <w:vAlign w:val="center"/>
          </w:tcPr>
          <w:p>
            <w:pPr>
              <w:spacing w:line="360" w:lineRule="auto"/>
              <w:rPr>
                <w:bCs/>
              </w:rPr>
            </w:pPr>
            <w:r>
              <w:rPr>
                <w:rFonts w:hint="eastAsia"/>
                <w:bCs/>
              </w:rPr>
              <w:t>本项目不适用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9" w:hRule="atLeast"/>
          <w:jc w:val="center"/>
        </w:trPr>
        <w:tc>
          <w:tcPr>
            <w:tcW w:w="701" w:type="dxa"/>
            <w:vAlign w:val="center"/>
          </w:tcPr>
          <w:p>
            <w:pPr>
              <w:adjustRightInd w:val="0"/>
              <w:snapToGrid w:val="0"/>
              <w:spacing w:line="360" w:lineRule="auto"/>
              <w:jc w:val="center"/>
              <w:rPr>
                <w:bCs/>
              </w:rPr>
            </w:pPr>
            <w:r>
              <w:rPr>
                <w:rFonts w:hint="eastAsia"/>
                <w:bCs/>
              </w:rPr>
              <w:t>20</w:t>
            </w:r>
          </w:p>
        </w:tc>
        <w:tc>
          <w:tcPr>
            <w:tcW w:w="1416" w:type="dxa"/>
            <w:tcBorders>
              <w:top w:val="single" w:color="auto" w:sz="4" w:space="0"/>
              <w:bottom w:val="single" w:color="auto" w:sz="4" w:space="0"/>
            </w:tcBorders>
            <w:vAlign w:val="center"/>
          </w:tcPr>
          <w:p>
            <w:pPr>
              <w:adjustRightInd w:val="0"/>
              <w:snapToGrid w:val="0"/>
              <w:spacing w:line="360" w:lineRule="auto"/>
              <w:jc w:val="center"/>
            </w:pPr>
            <w:r>
              <w:rPr>
                <w:rFonts w:hint="eastAsia"/>
              </w:rPr>
              <w:t>代理服务费</w:t>
            </w:r>
          </w:p>
        </w:tc>
        <w:tc>
          <w:tcPr>
            <w:tcW w:w="6988" w:type="dxa"/>
            <w:tcBorders>
              <w:top w:val="single" w:color="auto" w:sz="4" w:space="0"/>
              <w:bottom w:val="single" w:color="auto" w:sz="4" w:space="0"/>
            </w:tcBorders>
            <w:vAlign w:val="center"/>
          </w:tcPr>
          <w:p>
            <w:pPr>
              <w:spacing w:line="360" w:lineRule="auto"/>
              <w:rPr>
                <w:bCs/>
              </w:rPr>
            </w:pPr>
            <w:r>
              <w:rPr>
                <w:rFonts w:hint="eastAsia"/>
              </w:rPr>
              <w:t>采购服务费：采购代理服务费由成交供应商在领取入围通知书时一次性支付，费用包含在其报价中，不单独计列。收费标准为国家发展和计划委员会办公厅《招标代理服务收费管理暂行办法》(计价格［2002］1980号)收取6</w:t>
            </w:r>
            <w:r>
              <w:t>0%</w:t>
            </w:r>
            <w:r>
              <w:rPr>
                <w:rFonts w:hint="eastAsia"/>
              </w:rPr>
              <w:t>，不足1</w:t>
            </w:r>
            <w:r>
              <w:t>5</w:t>
            </w:r>
            <w:r>
              <w:rPr>
                <w:rFonts w:hint="eastAsia"/>
              </w:rPr>
              <w:t>000元按1</w:t>
            </w:r>
            <w:r>
              <w:t>5</w:t>
            </w:r>
            <w:r>
              <w:rPr>
                <w:rFonts w:hint="eastAsia"/>
              </w:rPr>
              <w:t>000元收取。评标专家费用按实际发生由入围供应商支付。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1" w:hRule="atLeast"/>
          <w:jc w:val="center"/>
        </w:trPr>
        <w:tc>
          <w:tcPr>
            <w:tcW w:w="701" w:type="dxa"/>
            <w:vAlign w:val="center"/>
          </w:tcPr>
          <w:p>
            <w:pPr>
              <w:adjustRightInd w:val="0"/>
              <w:snapToGrid w:val="0"/>
              <w:spacing w:line="360" w:lineRule="auto"/>
              <w:jc w:val="center"/>
              <w:rPr>
                <w:bCs/>
              </w:rPr>
            </w:pPr>
            <w:r>
              <w:rPr>
                <w:rFonts w:hint="eastAsia"/>
                <w:bCs/>
              </w:rPr>
              <w:t>21</w:t>
            </w:r>
          </w:p>
        </w:tc>
        <w:tc>
          <w:tcPr>
            <w:tcW w:w="1416" w:type="dxa"/>
            <w:tcBorders>
              <w:top w:val="single" w:color="auto" w:sz="4" w:space="0"/>
              <w:bottom w:val="single" w:color="auto" w:sz="4" w:space="0"/>
            </w:tcBorders>
            <w:vAlign w:val="center"/>
          </w:tcPr>
          <w:p>
            <w:pPr>
              <w:spacing w:line="276" w:lineRule="auto"/>
              <w:jc w:val="center"/>
              <w:rPr>
                <w:bCs/>
              </w:rPr>
            </w:pPr>
            <w:r>
              <w:rPr>
                <w:rFonts w:hint="eastAsia"/>
                <w:bCs/>
              </w:rPr>
              <w:t>联系方式</w:t>
            </w:r>
          </w:p>
        </w:tc>
        <w:tc>
          <w:tcPr>
            <w:tcW w:w="6988" w:type="dxa"/>
            <w:tcBorders>
              <w:top w:val="single" w:color="auto" w:sz="4" w:space="0"/>
              <w:bottom w:val="single" w:color="auto" w:sz="4" w:space="0"/>
            </w:tcBorders>
            <w:vAlign w:val="center"/>
          </w:tcPr>
          <w:p>
            <w:pPr>
              <w:spacing w:line="276" w:lineRule="auto"/>
              <w:rPr>
                <w:bCs/>
              </w:rPr>
            </w:pPr>
            <w:r>
              <w:rPr>
                <w:rFonts w:hint="eastAsia"/>
                <w:bCs/>
              </w:rPr>
              <w:t>联</w:t>
            </w:r>
            <w:r>
              <w:rPr>
                <w:bCs/>
              </w:rPr>
              <w:t xml:space="preserve"> 系 人： </w:t>
            </w:r>
            <w:r>
              <w:rPr>
                <w:rFonts w:hint="eastAsia"/>
                <w:bCs/>
              </w:rPr>
              <w:t>李女士</w:t>
            </w:r>
            <w:r>
              <w:rPr>
                <w:bCs/>
              </w:rPr>
              <w:t xml:space="preserve">                             </w:t>
            </w:r>
          </w:p>
          <w:p>
            <w:pPr>
              <w:spacing w:line="276" w:lineRule="auto"/>
              <w:rPr>
                <w:bCs/>
              </w:rPr>
            </w:pPr>
            <w:r>
              <w:rPr>
                <w:rFonts w:hint="eastAsia"/>
                <w:bCs/>
              </w:rPr>
              <w:t>电</w:t>
            </w:r>
            <w:r>
              <w:rPr>
                <w:bCs/>
              </w:rPr>
              <w:t xml:space="preserve">    话： 13501089832                                                      </w:t>
            </w:r>
          </w:p>
          <w:p>
            <w:pPr>
              <w:spacing w:line="276" w:lineRule="auto"/>
              <w:rPr>
                <w:bCs/>
              </w:rPr>
            </w:pPr>
            <w:r>
              <w:rPr>
                <w:rFonts w:hint="eastAsia"/>
                <w:bCs/>
              </w:rPr>
              <w:t>电子邮件：</w:t>
            </w:r>
            <w:r>
              <w:rPr>
                <w:bCs/>
              </w:rPr>
              <w:t xml:space="preserve"> yinyi@cfet.com.cn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59" w:hRule="atLeast"/>
          <w:jc w:val="center"/>
        </w:trPr>
        <w:tc>
          <w:tcPr>
            <w:tcW w:w="701" w:type="dxa"/>
            <w:vAlign w:val="center"/>
          </w:tcPr>
          <w:p>
            <w:pPr>
              <w:adjustRightInd w:val="0"/>
              <w:snapToGrid w:val="0"/>
              <w:spacing w:line="360" w:lineRule="auto"/>
              <w:jc w:val="center"/>
              <w:rPr>
                <w:bCs/>
              </w:rPr>
            </w:pPr>
            <w:r>
              <w:rPr>
                <w:rFonts w:hint="eastAsia"/>
                <w:bCs/>
              </w:rPr>
              <w:t>2</w:t>
            </w:r>
            <w:r>
              <w:rPr>
                <w:bCs/>
              </w:rPr>
              <w:t>2</w:t>
            </w:r>
          </w:p>
        </w:tc>
        <w:tc>
          <w:tcPr>
            <w:tcW w:w="1416" w:type="dxa"/>
            <w:tcBorders>
              <w:top w:val="single" w:color="auto" w:sz="4" w:space="0"/>
            </w:tcBorders>
            <w:vAlign w:val="center"/>
          </w:tcPr>
          <w:p>
            <w:pPr>
              <w:spacing w:line="276" w:lineRule="auto"/>
              <w:jc w:val="center"/>
              <w:rPr>
                <w:bCs/>
              </w:rPr>
            </w:pPr>
            <w:r>
              <w:rPr>
                <w:rFonts w:hint="eastAsia"/>
              </w:rPr>
              <w:t>采购控制价</w:t>
            </w:r>
          </w:p>
        </w:tc>
        <w:tc>
          <w:tcPr>
            <w:tcW w:w="6988" w:type="dxa"/>
            <w:tcBorders>
              <w:top w:val="single" w:color="auto" w:sz="4" w:space="0"/>
            </w:tcBorders>
            <w:vAlign w:val="center"/>
          </w:tcPr>
          <w:p>
            <w:pPr>
              <w:spacing w:line="276" w:lineRule="auto"/>
              <w:rPr>
                <w:bCs/>
              </w:rPr>
            </w:pPr>
            <w:r>
              <w:rPr>
                <w:rFonts w:hint="eastAsia"/>
                <w:b/>
                <w:bCs/>
              </w:rPr>
              <w:t>本项目采购控制价为</w:t>
            </w:r>
            <w:r>
              <w:rPr>
                <w:b/>
                <w:bCs/>
                <w:u w:val="single"/>
              </w:rPr>
              <w:t>100</w:t>
            </w:r>
            <w:r>
              <w:rPr>
                <w:rFonts w:hint="eastAsia"/>
                <w:b/>
                <w:bCs/>
                <w:u w:val="single"/>
              </w:rPr>
              <w:t>万元</w:t>
            </w:r>
            <w:r>
              <w:rPr>
                <w:rFonts w:hint="eastAsia"/>
                <w:b/>
                <w:bCs/>
              </w:rPr>
              <w:t>；注：供应商报价不能超出采购控制价，若报价超过控制价，其响应文件将被否决</w:t>
            </w:r>
            <w:r>
              <w:rPr>
                <w:rFonts w:hint="eastAsia"/>
              </w:rPr>
              <w:t>。</w:t>
            </w:r>
          </w:p>
        </w:tc>
      </w:tr>
    </w:tbl>
    <w:p>
      <w:pPr>
        <w:pStyle w:val="2"/>
        <w:rPr>
          <w:color w:val="auto"/>
        </w:rPr>
      </w:pPr>
      <w:r>
        <w:rPr>
          <w:color w:val="auto"/>
        </w:rPr>
        <w:br w:type="page"/>
      </w:r>
    </w:p>
    <w:p>
      <w:pPr>
        <w:autoSpaceDE w:val="0"/>
        <w:autoSpaceDN w:val="0"/>
        <w:adjustRightInd w:val="0"/>
        <w:spacing w:before="2" w:line="540" w:lineRule="exact"/>
        <w:ind w:right="286" w:firstLine="471" w:firstLineChars="196"/>
        <w:rPr>
          <w:b/>
        </w:rPr>
      </w:pPr>
      <w:r>
        <w:rPr>
          <w:rFonts w:hint="eastAsia"/>
          <w:b/>
        </w:rPr>
        <w:t>一、定义</w:t>
      </w:r>
    </w:p>
    <w:p>
      <w:pPr>
        <w:autoSpaceDE w:val="0"/>
        <w:autoSpaceDN w:val="0"/>
        <w:adjustRightInd w:val="0"/>
        <w:spacing w:line="540" w:lineRule="exact"/>
        <w:ind w:left="211" w:leftChars="88" w:right="246" w:firstLine="480" w:firstLineChars="200"/>
      </w:pPr>
      <w:r>
        <w:rPr>
          <w:rFonts w:hint="eastAsia"/>
        </w:rPr>
        <w:t>1、“采购人”系指中英人寿保险有限公司。</w:t>
      </w:r>
    </w:p>
    <w:p>
      <w:pPr>
        <w:autoSpaceDE w:val="0"/>
        <w:autoSpaceDN w:val="0"/>
        <w:adjustRightInd w:val="0"/>
        <w:spacing w:line="540" w:lineRule="exact"/>
        <w:ind w:left="211" w:leftChars="88" w:right="246" w:firstLine="480" w:firstLineChars="200"/>
      </w:pPr>
      <w:r>
        <w:rPr>
          <w:rFonts w:hint="eastAsia"/>
        </w:rPr>
        <w:t>2、“采购代理机构”系指中国远东国际招标有限公司。</w:t>
      </w:r>
    </w:p>
    <w:p>
      <w:pPr>
        <w:autoSpaceDE w:val="0"/>
        <w:autoSpaceDN w:val="0"/>
        <w:adjustRightInd w:val="0"/>
        <w:spacing w:line="540" w:lineRule="exact"/>
        <w:ind w:left="211" w:leftChars="88" w:right="246" w:firstLine="480" w:firstLineChars="200"/>
      </w:pPr>
      <w:r>
        <w:rPr>
          <w:rFonts w:hint="eastAsia"/>
        </w:rPr>
        <w:t>3、“供应商” 系指参加谈判的向采购人发出要约的单位。</w:t>
      </w:r>
    </w:p>
    <w:p>
      <w:pPr>
        <w:autoSpaceDE w:val="0"/>
        <w:autoSpaceDN w:val="0"/>
        <w:adjustRightInd w:val="0"/>
        <w:spacing w:line="540" w:lineRule="exact"/>
        <w:ind w:left="211" w:leftChars="88" w:right="246" w:firstLine="480" w:firstLineChars="200"/>
      </w:pPr>
      <w:r>
        <w:rPr>
          <w:rFonts w:hint="eastAsia"/>
        </w:rPr>
        <w:t>4、“签约单位” 系指发出的要约被采购人接受并作出承诺的供应商。</w:t>
      </w:r>
    </w:p>
    <w:p>
      <w:pPr>
        <w:autoSpaceDE w:val="0"/>
        <w:autoSpaceDN w:val="0"/>
        <w:adjustRightInd w:val="0"/>
        <w:spacing w:line="540" w:lineRule="exact"/>
        <w:ind w:right="246" w:firstLine="471" w:firstLineChars="196"/>
        <w:rPr>
          <w:b/>
        </w:rPr>
      </w:pPr>
      <w:r>
        <w:rPr>
          <w:rFonts w:hint="eastAsia"/>
          <w:b/>
        </w:rPr>
        <w:t>二、项目概况</w:t>
      </w:r>
    </w:p>
    <w:p>
      <w:pPr>
        <w:spacing w:line="480" w:lineRule="exact"/>
        <w:ind w:firstLine="480" w:firstLineChars="200"/>
        <w:contextualSpacing/>
        <w:rPr>
          <w:szCs w:val="21"/>
        </w:rPr>
      </w:pPr>
      <w:r>
        <w:rPr>
          <w:rFonts w:hint="eastAsia"/>
          <w:szCs w:val="21"/>
        </w:rPr>
        <w:t>拟</w:t>
      </w:r>
      <w:r>
        <w:rPr>
          <w:szCs w:val="21"/>
        </w:rPr>
        <w:t>通过委托第三方</w:t>
      </w:r>
      <w:r>
        <w:rPr>
          <w:rFonts w:hint="eastAsia"/>
          <w:szCs w:val="21"/>
        </w:rPr>
        <w:t>单位对中英人寿保险有限公司个人营销渠道2022年度高峰会项目标包</w:t>
      </w:r>
      <w:r>
        <w:rPr>
          <w:szCs w:val="21"/>
        </w:rPr>
        <w:t>2</w:t>
      </w:r>
      <w:r>
        <w:rPr>
          <w:rFonts w:hint="eastAsia"/>
          <w:szCs w:val="21"/>
        </w:rPr>
        <w:t>-会务中</w:t>
      </w:r>
      <w:r>
        <w:rPr>
          <w:szCs w:val="21"/>
        </w:rPr>
        <w:t>颁奖典礼现场流程设计</w:t>
      </w:r>
      <w:r>
        <w:rPr>
          <w:rFonts w:hint="eastAsia"/>
          <w:szCs w:val="21"/>
        </w:rPr>
        <w:t>、场地搭建、物料及拍摄等相关会务采购服务。</w:t>
      </w:r>
    </w:p>
    <w:p>
      <w:pPr>
        <w:spacing w:line="480" w:lineRule="exact"/>
        <w:ind w:firstLine="480" w:firstLineChars="200"/>
        <w:contextualSpacing/>
        <w:rPr>
          <w:rFonts w:cs="Times New Roman"/>
        </w:rPr>
      </w:pPr>
      <w:r>
        <w:rPr>
          <w:rFonts w:hint="eastAsia"/>
        </w:rPr>
        <w:t>本</w:t>
      </w:r>
      <w:r>
        <w:t>项目</w:t>
      </w:r>
      <w:r>
        <w:rPr>
          <w:rFonts w:hint="eastAsia"/>
        </w:rPr>
        <w:t>将</w:t>
      </w:r>
      <w:r>
        <w:t>通过</w:t>
      </w:r>
      <w:r>
        <w:rPr>
          <w:rFonts w:hint="eastAsia"/>
        </w:rPr>
        <w:t>谈判采购</w:t>
      </w:r>
      <w:r>
        <w:t>方式确定项目</w:t>
      </w:r>
      <w:r>
        <w:rPr>
          <w:rFonts w:hint="eastAsia"/>
        </w:rPr>
        <w:t>成交供</w:t>
      </w:r>
      <w:r>
        <w:t>应商，</w:t>
      </w:r>
      <w:r>
        <w:rPr>
          <w:rFonts w:hint="eastAsia"/>
        </w:rPr>
        <w:t>成交供</w:t>
      </w:r>
      <w:r>
        <w:t>应商在</w:t>
      </w:r>
      <w:r>
        <w:rPr>
          <w:rFonts w:hint="eastAsia"/>
        </w:rPr>
        <w:t>本项目服务</w:t>
      </w:r>
      <w:r>
        <w:t>需求下，</w:t>
      </w:r>
      <w:r>
        <w:rPr>
          <w:rFonts w:hint="eastAsia"/>
        </w:rPr>
        <w:t>在</w:t>
      </w:r>
      <w:r>
        <w:t>规定的时限内，</w:t>
      </w:r>
      <w:r>
        <w:rPr>
          <w:rFonts w:hint="eastAsia"/>
        </w:rPr>
        <w:t>提供相关服务安排并开展此项服务工作。</w:t>
      </w:r>
      <w:r>
        <w:rPr>
          <w:rFonts w:hint="eastAsia"/>
          <w:szCs w:val="21"/>
        </w:rPr>
        <w:t>具体内容详见谈判文件“第五部分 服务要求”。</w:t>
      </w:r>
    </w:p>
    <w:p>
      <w:pPr>
        <w:autoSpaceDE w:val="0"/>
        <w:autoSpaceDN w:val="0"/>
        <w:adjustRightInd w:val="0"/>
        <w:spacing w:line="540" w:lineRule="exact"/>
        <w:ind w:right="246" w:firstLine="471" w:firstLineChars="196"/>
        <w:rPr>
          <w:b/>
        </w:rPr>
      </w:pPr>
      <w:r>
        <w:rPr>
          <w:rFonts w:hint="eastAsia"/>
          <w:b/>
        </w:rPr>
        <w:t>三、谈判文件说明</w:t>
      </w:r>
    </w:p>
    <w:p>
      <w:pPr>
        <w:autoSpaceDE w:val="0"/>
        <w:autoSpaceDN w:val="0"/>
        <w:adjustRightInd w:val="0"/>
        <w:spacing w:line="540" w:lineRule="exact"/>
        <w:ind w:left="211" w:leftChars="88" w:right="-81" w:firstLine="480" w:firstLineChars="200"/>
      </w:pPr>
      <w:r>
        <w:rPr>
          <w:rFonts w:hint="eastAsia"/>
        </w:rPr>
        <w:t>1、本项目按照《中华人民共和国招标投标法》《非招标方式采购代理服务规范》等国家的有关法律法规的规定，通过谈判采购方式，择优选定签约单位。</w:t>
      </w:r>
    </w:p>
    <w:p>
      <w:pPr>
        <w:spacing w:line="540" w:lineRule="exact"/>
        <w:ind w:right="-91" w:rightChars="-38" w:firstLine="720" w:firstLineChars="300"/>
      </w:pPr>
      <w:r>
        <w:rPr>
          <w:rFonts w:hint="eastAsia"/>
        </w:rPr>
        <w:t>2、供应商在收到谈判文件后，若有问题需要澄清，提交响应文件的截止时间2天前以书面形式（包括书面文字、传真等）向采购人提出，采购人以书面形式答复所有获得谈判文件的供应商。</w:t>
      </w:r>
    </w:p>
    <w:p>
      <w:pPr>
        <w:autoSpaceDE w:val="0"/>
        <w:autoSpaceDN w:val="0"/>
        <w:adjustRightInd w:val="0"/>
        <w:spacing w:line="540" w:lineRule="exact"/>
        <w:ind w:left="211" w:leftChars="88" w:right="-81" w:firstLine="480" w:firstLineChars="200"/>
      </w:pPr>
      <w:r>
        <w:rPr>
          <w:rFonts w:hint="eastAsia"/>
        </w:rPr>
        <w:t>3、谈判文件的澄清或修改：采购人对谈判文件必要的澄清或修改的内容须在提交响应文件的截止时间2天前，以书面形式通知所有已领取谈判文件的供应商。澄清和修改的内容将构成谈判文件的组成部分。</w:t>
      </w:r>
    </w:p>
    <w:p>
      <w:pPr>
        <w:autoSpaceDE w:val="0"/>
        <w:autoSpaceDN w:val="0"/>
        <w:adjustRightInd w:val="0"/>
        <w:spacing w:line="540" w:lineRule="exact"/>
        <w:ind w:right="246" w:firstLine="480" w:firstLineChars="200"/>
      </w:pPr>
      <w:r>
        <w:rPr>
          <w:rFonts w:hint="eastAsia"/>
        </w:rPr>
        <w:t>4、各供应商自行承担参与谈判采购过程中自身产生的所有费用；</w:t>
      </w:r>
    </w:p>
    <w:p>
      <w:pPr>
        <w:autoSpaceDE w:val="0"/>
        <w:autoSpaceDN w:val="0"/>
        <w:adjustRightInd w:val="0"/>
        <w:spacing w:line="540" w:lineRule="exact"/>
        <w:ind w:right="246" w:firstLine="471" w:firstLineChars="196"/>
        <w:rPr>
          <w:b/>
        </w:rPr>
      </w:pPr>
      <w:r>
        <w:rPr>
          <w:rFonts w:hint="eastAsia"/>
          <w:b/>
        </w:rPr>
        <w:t>四、响应文件的编写</w:t>
      </w:r>
    </w:p>
    <w:p>
      <w:pPr>
        <w:autoSpaceDE w:val="0"/>
        <w:autoSpaceDN w:val="0"/>
        <w:adjustRightInd w:val="0"/>
        <w:spacing w:line="540" w:lineRule="exact"/>
        <w:ind w:left="211" w:leftChars="88" w:right="-81" w:firstLine="480" w:firstLineChars="200"/>
      </w:pPr>
      <w:r>
        <w:rPr>
          <w:rFonts w:hint="eastAsia"/>
        </w:rPr>
        <w:t>供应商应按谈判文件的要求准备响应文件，并保证所提供的全部资料真实、准确、完整，以使其对谈判文件做出实质性响应，否则其谈判资格有可能被谈判小组否决。</w:t>
      </w:r>
    </w:p>
    <w:p>
      <w:pPr>
        <w:autoSpaceDE w:val="0"/>
        <w:autoSpaceDN w:val="0"/>
        <w:adjustRightInd w:val="0"/>
        <w:spacing w:line="540" w:lineRule="exact"/>
        <w:ind w:right="246" w:firstLine="240" w:firstLineChars="100"/>
      </w:pPr>
      <w:r>
        <w:rPr>
          <w:rFonts w:hint="eastAsia"/>
        </w:rPr>
        <w:t>1、响应文件的语言文字及计量单位</w:t>
      </w:r>
    </w:p>
    <w:p>
      <w:pPr>
        <w:autoSpaceDE w:val="0"/>
        <w:autoSpaceDN w:val="0"/>
        <w:adjustRightInd w:val="0"/>
        <w:spacing w:line="540" w:lineRule="exact"/>
        <w:ind w:right="-81" w:firstLine="480" w:firstLineChars="200"/>
      </w:pPr>
      <w:r>
        <w:rPr>
          <w:rFonts w:hint="eastAsia"/>
        </w:rPr>
        <w:t>1.1 供应商与代理机构之间与报价有关的所有往来通知、信函和其他文件以及业务洽商等均使用简体中文。</w:t>
      </w:r>
    </w:p>
    <w:p>
      <w:pPr>
        <w:autoSpaceDE w:val="0"/>
        <w:autoSpaceDN w:val="0"/>
        <w:adjustRightInd w:val="0"/>
        <w:spacing w:line="540" w:lineRule="exact"/>
        <w:ind w:right="-81" w:firstLine="480" w:firstLineChars="200"/>
      </w:pPr>
      <w:r>
        <w:rPr>
          <w:rFonts w:hint="eastAsia"/>
        </w:rPr>
        <w:t>1.2 除谈判文件技术规范有特殊要求外，响应文件中使用的度量衡单位，均应采用中华人民共和国法定计量单位。</w:t>
      </w:r>
    </w:p>
    <w:p>
      <w:pPr>
        <w:autoSpaceDE w:val="0"/>
        <w:autoSpaceDN w:val="0"/>
        <w:adjustRightInd w:val="0"/>
        <w:spacing w:line="540" w:lineRule="exact"/>
        <w:ind w:right="246" w:firstLine="240" w:firstLineChars="100"/>
      </w:pPr>
      <w:r>
        <w:rPr>
          <w:rFonts w:hint="eastAsia"/>
        </w:rPr>
        <w:t>2、响应文件的组成：</w:t>
      </w:r>
    </w:p>
    <w:p>
      <w:pPr>
        <w:autoSpaceDE w:val="0"/>
        <w:autoSpaceDN w:val="0"/>
        <w:adjustRightInd w:val="0"/>
        <w:spacing w:line="540" w:lineRule="exact"/>
        <w:ind w:right="246" w:firstLine="480" w:firstLineChars="200"/>
      </w:pPr>
      <w:r>
        <w:rPr>
          <w:rFonts w:hint="eastAsia"/>
        </w:rPr>
        <w:t>一、响应函</w:t>
      </w:r>
    </w:p>
    <w:p>
      <w:pPr>
        <w:autoSpaceDE w:val="0"/>
        <w:autoSpaceDN w:val="0"/>
        <w:adjustRightInd w:val="0"/>
        <w:spacing w:line="540" w:lineRule="exact"/>
        <w:ind w:right="246" w:firstLine="480" w:firstLineChars="200"/>
      </w:pPr>
      <w:r>
        <w:rPr>
          <w:rFonts w:hint="eastAsia"/>
        </w:rPr>
        <w:t>二、法定代表人身份证明书</w:t>
      </w:r>
    </w:p>
    <w:p>
      <w:pPr>
        <w:autoSpaceDE w:val="0"/>
        <w:autoSpaceDN w:val="0"/>
        <w:adjustRightInd w:val="0"/>
        <w:spacing w:line="540" w:lineRule="exact"/>
        <w:ind w:right="246" w:firstLine="480" w:firstLineChars="200"/>
      </w:pPr>
      <w:r>
        <w:rPr>
          <w:rFonts w:hint="eastAsia"/>
        </w:rPr>
        <w:t>三、法定代表人授权委托书</w:t>
      </w:r>
    </w:p>
    <w:p>
      <w:pPr>
        <w:autoSpaceDE w:val="0"/>
        <w:autoSpaceDN w:val="0"/>
        <w:adjustRightInd w:val="0"/>
        <w:spacing w:line="540" w:lineRule="exact"/>
        <w:ind w:right="246" w:firstLine="480" w:firstLineChars="200"/>
      </w:pPr>
      <w:r>
        <w:rPr>
          <w:rFonts w:hint="eastAsia"/>
        </w:rPr>
        <w:t>四、响应保证金缴纳证明</w:t>
      </w:r>
    </w:p>
    <w:p>
      <w:pPr>
        <w:autoSpaceDE w:val="0"/>
        <w:autoSpaceDN w:val="0"/>
        <w:adjustRightInd w:val="0"/>
        <w:spacing w:line="540" w:lineRule="exact"/>
        <w:ind w:right="246" w:firstLine="480" w:firstLineChars="200"/>
      </w:pPr>
      <w:r>
        <w:rPr>
          <w:rFonts w:hint="eastAsia"/>
        </w:rPr>
        <w:t>五、报价单</w:t>
      </w:r>
    </w:p>
    <w:p>
      <w:pPr>
        <w:autoSpaceDE w:val="0"/>
        <w:autoSpaceDN w:val="0"/>
        <w:adjustRightInd w:val="0"/>
        <w:spacing w:line="540" w:lineRule="exact"/>
        <w:ind w:right="246" w:firstLine="480" w:firstLineChars="200"/>
      </w:pPr>
      <w:r>
        <w:rPr>
          <w:rFonts w:hint="eastAsia"/>
        </w:rPr>
        <w:t>六、供应商基本情况表</w:t>
      </w:r>
    </w:p>
    <w:p>
      <w:pPr>
        <w:autoSpaceDE w:val="0"/>
        <w:autoSpaceDN w:val="0"/>
        <w:adjustRightInd w:val="0"/>
        <w:spacing w:line="540" w:lineRule="exact"/>
        <w:ind w:right="246" w:firstLine="480" w:firstLineChars="200"/>
      </w:pPr>
      <w:r>
        <w:rPr>
          <w:rFonts w:hint="eastAsia"/>
        </w:rPr>
        <w:t>七、资格审查资料</w:t>
      </w:r>
    </w:p>
    <w:p>
      <w:pPr>
        <w:autoSpaceDE w:val="0"/>
        <w:autoSpaceDN w:val="0"/>
        <w:adjustRightInd w:val="0"/>
        <w:spacing w:line="540" w:lineRule="exact"/>
        <w:ind w:right="246" w:firstLine="480" w:firstLineChars="200"/>
      </w:pPr>
      <w:r>
        <w:rPr>
          <w:rFonts w:hint="eastAsia"/>
        </w:rPr>
        <w:t>八、人员配备情况</w:t>
      </w:r>
    </w:p>
    <w:p>
      <w:pPr>
        <w:autoSpaceDE w:val="0"/>
        <w:autoSpaceDN w:val="0"/>
        <w:adjustRightInd w:val="0"/>
        <w:spacing w:line="540" w:lineRule="exact"/>
        <w:ind w:right="246" w:firstLine="480" w:firstLineChars="200"/>
      </w:pPr>
      <w:r>
        <w:rPr>
          <w:rFonts w:hint="eastAsia"/>
        </w:rPr>
        <w:t>九、业绩</w:t>
      </w:r>
    </w:p>
    <w:p>
      <w:pPr>
        <w:autoSpaceDE w:val="0"/>
        <w:autoSpaceDN w:val="0"/>
        <w:adjustRightInd w:val="0"/>
        <w:spacing w:line="540" w:lineRule="exact"/>
        <w:ind w:right="246" w:firstLine="480" w:firstLineChars="200"/>
      </w:pPr>
      <w:r>
        <w:rPr>
          <w:rFonts w:hint="eastAsia"/>
        </w:rPr>
        <w:t>十、商务偏差表</w:t>
      </w:r>
    </w:p>
    <w:p>
      <w:pPr>
        <w:autoSpaceDE w:val="0"/>
        <w:autoSpaceDN w:val="0"/>
        <w:adjustRightInd w:val="0"/>
        <w:spacing w:line="540" w:lineRule="exact"/>
        <w:ind w:right="246" w:firstLine="480" w:firstLineChars="200"/>
      </w:pPr>
      <w:r>
        <w:rPr>
          <w:rFonts w:hint="eastAsia"/>
        </w:rPr>
        <w:t>十一、技术偏差表</w:t>
      </w:r>
    </w:p>
    <w:p>
      <w:pPr>
        <w:autoSpaceDE w:val="0"/>
        <w:autoSpaceDN w:val="0"/>
        <w:adjustRightInd w:val="0"/>
        <w:spacing w:line="540" w:lineRule="exact"/>
        <w:ind w:right="246" w:firstLine="480" w:firstLineChars="200"/>
      </w:pPr>
      <w:r>
        <w:rPr>
          <w:rFonts w:hint="eastAsia"/>
        </w:rPr>
        <w:t>十二、服务方案</w:t>
      </w:r>
    </w:p>
    <w:p>
      <w:pPr>
        <w:autoSpaceDE w:val="0"/>
        <w:autoSpaceDN w:val="0"/>
        <w:adjustRightInd w:val="0"/>
        <w:spacing w:line="540" w:lineRule="exact"/>
        <w:ind w:right="246" w:firstLine="480" w:firstLineChars="200"/>
      </w:pPr>
      <w:r>
        <w:rPr>
          <w:rFonts w:hint="eastAsia"/>
        </w:rPr>
        <w:t>十三、供应商认为应提供的其他材料。</w:t>
      </w:r>
    </w:p>
    <w:p>
      <w:pPr>
        <w:autoSpaceDE w:val="0"/>
        <w:autoSpaceDN w:val="0"/>
        <w:adjustRightInd w:val="0"/>
        <w:spacing w:line="540" w:lineRule="exact"/>
        <w:ind w:right="246" w:firstLine="480" w:firstLineChars="200"/>
      </w:pPr>
      <w:r>
        <w:rPr>
          <w:rFonts w:hint="eastAsia"/>
        </w:rPr>
        <w:t>3、报价要求：</w:t>
      </w:r>
    </w:p>
    <w:p>
      <w:pPr>
        <w:autoSpaceDE w:val="0"/>
        <w:autoSpaceDN w:val="0"/>
        <w:adjustRightInd w:val="0"/>
        <w:spacing w:line="540" w:lineRule="exact"/>
        <w:ind w:right="-81" w:firstLine="480" w:firstLineChars="200"/>
      </w:pPr>
      <w:r>
        <w:rPr>
          <w:rFonts w:hint="eastAsia"/>
        </w:rPr>
        <w:t>3.1 在报价中应报固定总价，包含完成本项目的所有费用。</w:t>
      </w:r>
    </w:p>
    <w:p>
      <w:pPr>
        <w:autoSpaceDE w:val="0"/>
        <w:autoSpaceDN w:val="0"/>
        <w:adjustRightInd w:val="0"/>
        <w:spacing w:line="540" w:lineRule="exact"/>
        <w:ind w:right="246" w:firstLine="480" w:firstLineChars="200"/>
      </w:pPr>
      <w:r>
        <w:rPr>
          <w:rFonts w:hint="eastAsia"/>
        </w:rPr>
        <w:t>3.2 对供应商报价是唯一的，不接受任何选择价。</w:t>
      </w:r>
    </w:p>
    <w:p>
      <w:pPr>
        <w:autoSpaceDE w:val="0"/>
        <w:autoSpaceDN w:val="0"/>
        <w:adjustRightInd w:val="0"/>
        <w:spacing w:line="540" w:lineRule="exact"/>
        <w:ind w:right="246" w:firstLine="480" w:firstLineChars="200"/>
      </w:pPr>
      <w:r>
        <w:rPr>
          <w:rFonts w:hint="eastAsia"/>
        </w:rPr>
        <w:t>3.3 报价币种为人民币。</w:t>
      </w:r>
    </w:p>
    <w:p>
      <w:pPr>
        <w:autoSpaceDE w:val="0"/>
        <w:autoSpaceDN w:val="0"/>
        <w:adjustRightInd w:val="0"/>
        <w:spacing w:line="540" w:lineRule="exact"/>
        <w:ind w:right="246" w:firstLine="480" w:firstLineChars="200"/>
      </w:pPr>
      <w:r>
        <w:rPr>
          <w:rFonts w:hint="eastAsia"/>
        </w:rPr>
        <w:t>3.4 必须是完税（增值税专用发票）报价。</w:t>
      </w:r>
    </w:p>
    <w:p>
      <w:pPr>
        <w:autoSpaceDE w:val="0"/>
        <w:autoSpaceDN w:val="0"/>
        <w:adjustRightInd w:val="0"/>
        <w:spacing w:line="540" w:lineRule="exact"/>
        <w:ind w:right="246" w:firstLine="480" w:firstLineChars="200"/>
      </w:pPr>
      <w:r>
        <w:rPr>
          <w:rFonts w:hint="eastAsia"/>
        </w:rPr>
        <w:t>3.5 本次谈判报价应书面确认。</w:t>
      </w:r>
    </w:p>
    <w:p>
      <w:pPr>
        <w:autoSpaceDE w:val="0"/>
        <w:autoSpaceDN w:val="0"/>
        <w:adjustRightInd w:val="0"/>
        <w:spacing w:line="540" w:lineRule="exact"/>
        <w:ind w:right="246" w:firstLine="480" w:firstLineChars="200"/>
      </w:pPr>
      <w:r>
        <w:rPr>
          <w:rFonts w:hint="eastAsia"/>
        </w:rPr>
        <w:t>3.6 如果报价单大写金额与小写金额不一致，以大写金额为准。</w:t>
      </w:r>
    </w:p>
    <w:p>
      <w:pPr>
        <w:autoSpaceDE w:val="0"/>
        <w:autoSpaceDN w:val="0"/>
        <w:adjustRightInd w:val="0"/>
        <w:spacing w:line="540" w:lineRule="exact"/>
        <w:ind w:right="-81" w:firstLine="480" w:firstLineChars="200"/>
      </w:pPr>
      <w:r>
        <w:rPr>
          <w:rFonts w:hint="eastAsia"/>
        </w:rPr>
        <w:t>3.7 供应商免费提供的项目应先填写该项目的实际价格并注明免费，此项不计入总报价或合计总报价。</w:t>
      </w:r>
    </w:p>
    <w:p>
      <w:pPr>
        <w:autoSpaceDE w:val="0"/>
        <w:autoSpaceDN w:val="0"/>
        <w:adjustRightInd w:val="0"/>
        <w:spacing w:line="540" w:lineRule="exact"/>
        <w:ind w:right="-81" w:firstLine="480" w:firstLineChars="200"/>
      </w:pPr>
      <w:r>
        <w:rPr>
          <w:rFonts w:hint="eastAsia"/>
        </w:rPr>
        <w:t>3.8 谈判采购过程中谈判文件有变动的，采购代理机构将书面通知所有参与谈判的供应商。</w:t>
      </w:r>
    </w:p>
    <w:p>
      <w:pPr>
        <w:tabs>
          <w:tab w:val="left" w:pos="8919"/>
        </w:tabs>
        <w:autoSpaceDE w:val="0"/>
        <w:autoSpaceDN w:val="0"/>
        <w:adjustRightInd w:val="0"/>
        <w:spacing w:line="540" w:lineRule="exact"/>
        <w:ind w:right="-81" w:firstLine="480" w:firstLineChars="200"/>
      </w:pPr>
      <w:r>
        <w:rPr>
          <w:rFonts w:hint="eastAsia"/>
        </w:rPr>
        <w:t>4、响应文件有效期</w:t>
      </w:r>
    </w:p>
    <w:p>
      <w:pPr>
        <w:tabs>
          <w:tab w:val="left" w:pos="8919"/>
        </w:tabs>
        <w:autoSpaceDE w:val="0"/>
        <w:autoSpaceDN w:val="0"/>
        <w:adjustRightInd w:val="0"/>
        <w:spacing w:line="540" w:lineRule="exact"/>
        <w:ind w:right="-81" w:firstLine="480" w:firstLineChars="200"/>
      </w:pPr>
      <w:r>
        <w:rPr>
          <w:rFonts w:hint="eastAsia"/>
        </w:rPr>
        <w:t>自响应文件提交截止之日起90个日历日内，在此期限内，凡符合本谈判文件要求的响应文件均保持有效。</w:t>
      </w:r>
    </w:p>
    <w:p>
      <w:pPr>
        <w:tabs>
          <w:tab w:val="left" w:pos="8919"/>
        </w:tabs>
        <w:autoSpaceDE w:val="0"/>
        <w:autoSpaceDN w:val="0"/>
        <w:adjustRightInd w:val="0"/>
        <w:spacing w:line="540" w:lineRule="exact"/>
        <w:ind w:right="-81" w:firstLine="480" w:firstLineChars="200"/>
      </w:pPr>
      <w:r>
        <w:rPr>
          <w:rFonts w:hint="eastAsia"/>
        </w:rPr>
        <w:t>5、响应保证金</w:t>
      </w:r>
    </w:p>
    <w:p>
      <w:pPr>
        <w:autoSpaceDE w:val="0"/>
        <w:autoSpaceDN w:val="0"/>
        <w:adjustRightInd w:val="0"/>
        <w:spacing w:line="540" w:lineRule="exact"/>
        <w:ind w:right="-81" w:firstLine="600" w:firstLineChars="250"/>
      </w:pPr>
      <w:r>
        <w:rPr>
          <w:rFonts w:hint="eastAsia"/>
        </w:rPr>
        <w:t>5.1供应商应在递交响应文件截止之日前日，以电汇形式向采购代理机构交纳人民币</w:t>
      </w:r>
      <w:r>
        <w:t>20000</w:t>
      </w:r>
      <w:r>
        <w:rPr>
          <w:rFonts w:hint="eastAsia"/>
        </w:rPr>
        <w:t>元的响应保证金：</w:t>
      </w:r>
    </w:p>
    <w:p>
      <w:pPr>
        <w:spacing w:line="540" w:lineRule="exact"/>
        <w:ind w:firstLine="480" w:firstLineChars="200"/>
      </w:pPr>
      <w:r>
        <w:rPr>
          <w:rFonts w:hint="eastAsia"/>
        </w:rPr>
        <w:t>开户名称： 中国远东国际招标有限公司</w:t>
      </w:r>
    </w:p>
    <w:p>
      <w:pPr>
        <w:spacing w:line="540" w:lineRule="exact"/>
        <w:ind w:firstLine="480" w:firstLineChars="200"/>
      </w:pPr>
      <w:r>
        <w:rPr>
          <w:rFonts w:hint="eastAsia"/>
        </w:rPr>
        <w:t xml:space="preserve">开户银行：中国建设银行股份有限公司北京玉泉支行 </w:t>
      </w:r>
    </w:p>
    <w:p>
      <w:pPr>
        <w:autoSpaceDE w:val="0"/>
        <w:autoSpaceDN w:val="0"/>
        <w:adjustRightInd w:val="0"/>
        <w:spacing w:line="540" w:lineRule="exact"/>
        <w:ind w:right="246" w:firstLine="480" w:firstLineChars="200"/>
      </w:pPr>
      <w:r>
        <w:rPr>
          <w:rFonts w:hint="eastAsia"/>
        </w:rPr>
        <w:t>账    户： 6232810010000261182</w:t>
      </w:r>
    </w:p>
    <w:p>
      <w:pPr>
        <w:autoSpaceDE w:val="0"/>
        <w:autoSpaceDN w:val="0"/>
        <w:adjustRightInd w:val="0"/>
        <w:spacing w:line="540" w:lineRule="exact"/>
        <w:ind w:right="246" w:firstLine="480" w:firstLineChars="200"/>
        <w:rPr>
          <w:bCs/>
        </w:rPr>
      </w:pPr>
      <w:r>
        <w:rPr>
          <w:rFonts w:hint="eastAsia"/>
          <w:bCs/>
        </w:rPr>
        <w:t>未交纳响应保证金的供应商，其响应文件将被否决；</w:t>
      </w:r>
    </w:p>
    <w:p>
      <w:pPr>
        <w:autoSpaceDE w:val="0"/>
        <w:autoSpaceDN w:val="0"/>
        <w:adjustRightInd w:val="0"/>
        <w:spacing w:line="540" w:lineRule="exact"/>
        <w:ind w:right="-81" w:firstLine="480" w:firstLineChars="200"/>
      </w:pPr>
      <w:r>
        <w:rPr>
          <w:rFonts w:hint="eastAsia"/>
        </w:rPr>
        <w:t>5.2采购代理机构最迟将签订合同协议后 5 日内，向成交供应商和未成交供应商退还响应保证金。</w:t>
      </w:r>
    </w:p>
    <w:p>
      <w:pPr>
        <w:autoSpaceDE w:val="0"/>
        <w:autoSpaceDN w:val="0"/>
        <w:adjustRightInd w:val="0"/>
        <w:spacing w:line="540" w:lineRule="exact"/>
        <w:ind w:right="246" w:firstLine="480" w:firstLineChars="200"/>
      </w:pPr>
      <w:r>
        <w:rPr>
          <w:rFonts w:hint="eastAsia"/>
        </w:rPr>
        <w:t>5.3 有下列情形之一的，响应保证金将不予退还：</w:t>
      </w:r>
    </w:p>
    <w:p>
      <w:pPr>
        <w:spacing w:line="540" w:lineRule="exact"/>
        <w:ind w:firstLine="480" w:firstLineChars="200"/>
      </w:pPr>
      <w:r>
        <w:rPr>
          <w:rFonts w:hint="eastAsia"/>
        </w:rPr>
        <w:t>（1）供应商在响应文件有效期内撤销响应文件；</w:t>
      </w:r>
    </w:p>
    <w:p>
      <w:pPr>
        <w:spacing w:line="540" w:lineRule="exact"/>
        <w:ind w:firstLine="480" w:firstLineChars="200"/>
      </w:pPr>
      <w:r>
        <w:rPr>
          <w:rFonts w:hint="eastAsia"/>
        </w:rPr>
        <w:t>（2）成交供应商在收到成交通知书后，无正当理由拒签合同协议书，在签订合同协议书时向采购人提出附加条件，或者不按照谈判文件要求提交履约保证金；</w:t>
      </w:r>
    </w:p>
    <w:p>
      <w:pPr>
        <w:spacing w:line="540" w:lineRule="exact"/>
        <w:ind w:firstLine="480" w:firstLineChars="200"/>
      </w:pPr>
      <w:r>
        <w:rPr>
          <w:rFonts w:hint="eastAsia"/>
        </w:rPr>
        <w:t>（3）发生谈判须知前附表规定的其他可以不予退还响应保证金的情形。</w:t>
      </w:r>
    </w:p>
    <w:p>
      <w:pPr>
        <w:autoSpaceDE w:val="0"/>
        <w:autoSpaceDN w:val="0"/>
        <w:adjustRightInd w:val="0"/>
        <w:spacing w:line="540" w:lineRule="exact"/>
        <w:ind w:right="246" w:firstLine="480" w:firstLineChars="200"/>
      </w:pPr>
      <w:r>
        <w:rPr>
          <w:rFonts w:hint="eastAsia"/>
        </w:rPr>
        <w:t>6、供应商有下列情况之一，其响应文件被视为不响应谈判文件按作废处理：</w:t>
      </w:r>
    </w:p>
    <w:p>
      <w:pPr>
        <w:autoSpaceDE w:val="0"/>
        <w:autoSpaceDN w:val="0"/>
        <w:adjustRightInd w:val="0"/>
        <w:spacing w:before="3" w:line="540" w:lineRule="exact"/>
        <w:ind w:left="794" w:right="246"/>
      </w:pPr>
      <w:r>
        <w:rPr>
          <w:rFonts w:hint="eastAsia"/>
        </w:rPr>
        <w:t>1、供应商未按规定交纳保证金；</w:t>
      </w:r>
    </w:p>
    <w:p>
      <w:pPr>
        <w:autoSpaceDE w:val="0"/>
        <w:autoSpaceDN w:val="0"/>
        <w:adjustRightInd w:val="0"/>
        <w:spacing w:line="540" w:lineRule="exact"/>
        <w:ind w:left="775" w:right="246"/>
      </w:pPr>
      <w:r>
        <w:rPr>
          <w:rFonts w:hint="eastAsia"/>
        </w:rPr>
        <w:t>2、供应商提供的响应文件不完整；</w:t>
      </w:r>
    </w:p>
    <w:p>
      <w:pPr>
        <w:autoSpaceDE w:val="0"/>
        <w:autoSpaceDN w:val="0"/>
        <w:adjustRightInd w:val="0"/>
        <w:spacing w:line="540" w:lineRule="exact"/>
        <w:ind w:left="775" w:right="246"/>
      </w:pPr>
      <w:r>
        <w:rPr>
          <w:rFonts w:hint="eastAsia"/>
        </w:rPr>
        <w:t>3、响应文件未按谈判文件的规定签署；</w:t>
      </w:r>
    </w:p>
    <w:p>
      <w:pPr>
        <w:autoSpaceDE w:val="0"/>
        <w:autoSpaceDN w:val="0"/>
        <w:adjustRightInd w:val="0"/>
        <w:spacing w:line="540" w:lineRule="exact"/>
        <w:ind w:left="775" w:right="246"/>
      </w:pPr>
      <w:r>
        <w:rPr>
          <w:rFonts w:hint="eastAsia"/>
        </w:rPr>
        <w:t>4、供应商对谈判文件未做出实质性响应；</w:t>
      </w:r>
    </w:p>
    <w:p>
      <w:pPr>
        <w:autoSpaceDE w:val="0"/>
        <w:autoSpaceDN w:val="0"/>
        <w:adjustRightInd w:val="0"/>
        <w:spacing w:line="540" w:lineRule="exact"/>
        <w:ind w:left="775" w:right="-81"/>
      </w:pPr>
      <w:r>
        <w:rPr>
          <w:rFonts w:hint="eastAsia"/>
        </w:rPr>
        <w:t>5、经谈判小组评审或采购人考核供应商所提供的服务不符合谈判文件要求。</w:t>
      </w:r>
    </w:p>
    <w:p>
      <w:pPr>
        <w:autoSpaceDE w:val="0"/>
        <w:autoSpaceDN w:val="0"/>
        <w:adjustRightInd w:val="0"/>
        <w:spacing w:line="540" w:lineRule="exact"/>
        <w:ind w:left="775" w:right="246"/>
      </w:pPr>
      <w:r>
        <w:rPr>
          <w:rFonts w:hint="eastAsia"/>
        </w:rPr>
        <w:t>6、供应商的法定代表人和委托代理人均不参加现场谈判；</w:t>
      </w:r>
    </w:p>
    <w:p>
      <w:pPr>
        <w:autoSpaceDE w:val="0"/>
        <w:autoSpaceDN w:val="0"/>
        <w:adjustRightInd w:val="0"/>
        <w:spacing w:line="540" w:lineRule="exact"/>
        <w:ind w:left="775" w:right="246"/>
      </w:pPr>
      <w:r>
        <w:rPr>
          <w:rFonts w:hint="eastAsia"/>
        </w:rPr>
        <w:t>7、谈判文件不符合法律法规规定的其他情况；</w:t>
      </w:r>
    </w:p>
    <w:p>
      <w:pPr>
        <w:autoSpaceDE w:val="0"/>
        <w:autoSpaceDN w:val="0"/>
        <w:adjustRightInd w:val="0"/>
        <w:spacing w:line="540" w:lineRule="exact"/>
        <w:ind w:right="-81" w:firstLine="720" w:firstLineChars="300"/>
      </w:pPr>
      <w:r>
        <w:rPr>
          <w:rFonts w:hint="eastAsia"/>
        </w:rPr>
        <w:t>供应商有下列情况之一，其响应文件不仅被视为无效，而且采购人、采购代理机构将严格按照《中华人民共和国招标投标法》及相关法律、法规及规章制度的规定行使权利，供应商给采购人、代理机构造成损失的，应予以赔偿。</w:t>
      </w:r>
    </w:p>
    <w:p>
      <w:pPr>
        <w:autoSpaceDE w:val="0"/>
        <w:autoSpaceDN w:val="0"/>
        <w:adjustRightInd w:val="0"/>
        <w:spacing w:line="540" w:lineRule="exact"/>
        <w:ind w:left="780" w:right="246"/>
      </w:pPr>
      <w:r>
        <w:rPr>
          <w:rFonts w:hint="eastAsia"/>
        </w:rPr>
        <w:t>1、供应商提供的有关资格、资质证明文件不真实，提供虚假材料；</w:t>
      </w:r>
    </w:p>
    <w:p>
      <w:pPr>
        <w:autoSpaceDE w:val="0"/>
        <w:autoSpaceDN w:val="0"/>
        <w:adjustRightInd w:val="0"/>
        <w:spacing w:line="540" w:lineRule="exact"/>
        <w:ind w:left="780" w:right="246"/>
      </w:pPr>
      <w:r>
        <w:rPr>
          <w:rFonts w:hint="eastAsia"/>
        </w:rPr>
        <w:t>2、谈判会议后，供应商撤回报价，退出谈判；</w:t>
      </w:r>
    </w:p>
    <w:p>
      <w:pPr>
        <w:autoSpaceDE w:val="0"/>
        <w:autoSpaceDN w:val="0"/>
        <w:adjustRightInd w:val="0"/>
        <w:spacing w:line="540" w:lineRule="exact"/>
        <w:ind w:left="780" w:right="246"/>
      </w:pPr>
      <w:r>
        <w:rPr>
          <w:rFonts w:hint="eastAsia"/>
        </w:rPr>
        <w:t>3、成交供应商不按规定要求签订合同协议；</w:t>
      </w:r>
    </w:p>
    <w:p>
      <w:pPr>
        <w:autoSpaceDE w:val="0"/>
        <w:autoSpaceDN w:val="0"/>
        <w:adjustRightInd w:val="0"/>
        <w:spacing w:line="540" w:lineRule="exact"/>
        <w:ind w:left="780" w:right="246"/>
      </w:pPr>
      <w:r>
        <w:rPr>
          <w:rFonts w:hint="eastAsia"/>
        </w:rPr>
        <w:t>4、供应商串通报价；</w:t>
      </w:r>
    </w:p>
    <w:p>
      <w:pPr>
        <w:autoSpaceDE w:val="0"/>
        <w:autoSpaceDN w:val="0"/>
        <w:adjustRightInd w:val="0"/>
        <w:spacing w:line="540" w:lineRule="exact"/>
        <w:ind w:left="780" w:right="246"/>
      </w:pPr>
      <w:r>
        <w:rPr>
          <w:rFonts w:hint="eastAsia"/>
        </w:rPr>
        <w:t>5、供应商向采购人、采购代理机构、谈判小组成员提供不正当利益；</w:t>
      </w:r>
    </w:p>
    <w:p>
      <w:pPr>
        <w:autoSpaceDE w:val="0"/>
        <w:autoSpaceDN w:val="0"/>
        <w:adjustRightInd w:val="0"/>
        <w:spacing w:line="540" w:lineRule="exact"/>
        <w:ind w:left="780" w:right="246"/>
      </w:pPr>
      <w:r>
        <w:rPr>
          <w:rFonts w:hint="eastAsia"/>
        </w:rPr>
        <w:t>6、法律法规、谈判文件规定的其他情况。</w:t>
      </w:r>
    </w:p>
    <w:p>
      <w:pPr>
        <w:numPr>
          <w:ilvl w:val="0"/>
          <w:numId w:val="11"/>
        </w:numPr>
        <w:autoSpaceDE w:val="0"/>
        <w:autoSpaceDN w:val="0"/>
        <w:adjustRightInd w:val="0"/>
        <w:spacing w:line="540" w:lineRule="exact"/>
        <w:ind w:right="246" w:firstLine="471" w:firstLineChars="196"/>
        <w:rPr>
          <w:b/>
        </w:rPr>
      </w:pPr>
      <w:r>
        <w:rPr>
          <w:rFonts w:hint="eastAsia"/>
          <w:b/>
        </w:rPr>
        <w:t>响应文件的递交</w:t>
      </w:r>
    </w:p>
    <w:p>
      <w:pPr>
        <w:autoSpaceDE w:val="0"/>
        <w:autoSpaceDN w:val="0"/>
        <w:adjustRightInd w:val="0"/>
        <w:spacing w:line="540" w:lineRule="exact"/>
        <w:ind w:right="240" w:firstLine="480" w:firstLineChars="200"/>
      </w:pPr>
      <w:r>
        <w:rPr>
          <w:rFonts w:hint="eastAsia"/>
        </w:rPr>
        <w:t>1、响应文件的密封和标记</w:t>
      </w:r>
    </w:p>
    <w:p>
      <w:pPr>
        <w:autoSpaceDE w:val="0"/>
        <w:autoSpaceDN w:val="0"/>
        <w:adjustRightInd w:val="0"/>
        <w:spacing w:line="540" w:lineRule="exact"/>
        <w:ind w:right="-81" w:firstLine="480" w:firstLineChars="200"/>
        <w:rPr>
          <w:b/>
        </w:rPr>
      </w:pPr>
      <w:r>
        <w:rPr>
          <w:rFonts w:hint="eastAsia"/>
        </w:rPr>
        <w:t>1.1 供应商必须用中文A4纸打印制作三份响应文件，一份正本和二份副本，正本、副本密封在一起，在密封上要明确注明“正本”或“副本”字样，正本和副本有差异，以正本为准，报价单及电子版文件单独密封</w:t>
      </w:r>
      <w:r>
        <w:rPr>
          <w:rFonts w:hint="eastAsia"/>
          <w:b/>
        </w:rPr>
        <w:t>。</w:t>
      </w:r>
    </w:p>
    <w:p>
      <w:pPr>
        <w:autoSpaceDE w:val="0"/>
        <w:autoSpaceDN w:val="0"/>
        <w:adjustRightInd w:val="0"/>
        <w:spacing w:line="540" w:lineRule="exact"/>
        <w:ind w:right="-81" w:firstLine="480" w:firstLineChars="200"/>
      </w:pPr>
      <w:r>
        <w:rPr>
          <w:rFonts w:hint="eastAsia"/>
        </w:rPr>
        <w:t>1.2供应商密封完响应文件后，在封口处加盖单位公章及法人章，并在封面明显处注明以下内容：</w:t>
      </w:r>
    </w:p>
    <w:p>
      <w:pPr>
        <w:autoSpaceDE w:val="0"/>
        <w:autoSpaceDN w:val="0"/>
        <w:adjustRightInd w:val="0"/>
        <w:spacing w:line="540" w:lineRule="exact"/>
        <w:ind w:right="246" w:firstLine="480" w:firstLineChars="200"/>
      </w:pPr>
      <w:r>
        <w:rPr>
          <w:rFonts w:hint="eastAsia"/>
        </w:rPr>
        <w:t>（1）项目名称；</w:t>
      </w:r>
    </w:p>
    <w:p>
      <w:pPr>
        <w:autoSpaceDE w:val="0"/>
        <w:autoSpaceDN w:val="0"/>
        <w:adjustRightInd w:val="0"/>
        <w:spacing w:line="540" w:lineRule="exact"/>
        <w:ind w:right="246" w:firstLine="480" w:firstLineChars="200"/>
      </w:pPr>
      <w:r>
        <w:rPr>
          <w:rFonts w:hint="eastAsia"/>
        </w:rPr>
        <w:t>（2）项目编号；</w:t>
      </w:r>
    </w:p>
    <w:p>
      <w:pPr>
        <w:autoSpaceDE w:val="0"/>
        <w:autoSpaceDN w:val="0"/>
        <w:adjustRightInd w:val="0"/>
        <w:spacing w:line="540" w:lineRule="exact"/>
        <w:ind w:right="246" w:firstLine="480" w:firstLineChars="200"/>
      </w:pPr>
      <w:r>
        <w:rPr>
          <w:rFonts w:hint="eastAsia"/>
        </w:rPr>
        <w:t>（3）供应商名称（加盖公章）、地址、电话；</w:t>
      </w:r>
    </w:p>
    <w:p>
      <w:pPr>
        <w:autoSpaceDE w:val="0"/>
        <w:autoSpaceDN w:val="0"/>
        <w:adjustRightInd w:val="0"/>
        <w:spacing w:line="540" w:lineRule="exact"/>
        <w:ind w:right="-81" w:firstLine="540" w:firstLineChars="225"/>
      </w:pPr>
      <w:r>
        <w:rPr>
          <w:rFonts w:hint="eastAsia"/>
        </w:rPr>
        <w:t>2、供应商必须在响应文件递交截止时间前将响应文件送达指定地点，如因谈判文件的修改影响响应文件递交截止日期的，则按采购代理机构另行通知规定的时间递交。</w:t>
      </w:r>
    </w:p>
    <w:p>
      <w:pPr>
        <w:autoSpaceDE w:val="0"/>
        <w:autoSpaceDN w:val="0"/>
        <w:adjustRightInd w:val="0"/>
        <w:spacing w:before="3" w:line="540" w:lineRule="exact"/>
        <w:ind w:left="549" w:right="246"/>
      </w:pPr>
      <w:r>
        <w:rPr>
          <w:rFonts w:hint="eastAsia"/>
        </w:rPr>
        <w:t>3、在截止时间后递交的响应文件概不接收。</w:t>
      </w:r>
    </w:p>
    <w:p>
      <w:pPr>
        <w:autoSpaceDE w:val="0"/>
        <w:autoSpaceDN w:val="0"/>
        <w:adjustRightInd w:val="0"/>
        <w:spacing w:line="540" w:lineRule="exact"/>
        <w:ind w:left="549" w:right="246"/>
      </w:pPr>
      <w:r>
        <w:rPr>
          <w:rFonts w:hint="eastAsia"/>
        </w:rPr>
        <w:t>4、电话、传真、电子邮件方式的响应文件概不接受。</w:t>
      </w:r>
    </w:p>
    <w:p>
      <w:pPr>
        <w:autoSpaceDE w:val="0"/>
        <w:autoSpaceDN w:val="0"/>
        <w:adjustRightInd w:val="0"/>
        <w:spacing w:line="540" w:lineRule="exact"/>
        <w:ind w:left="549" w:right="246"/>
      </w:pPr>
      <w:r>
        <w:rPr>
          <w:rFonts w:hint="eastAsia"/>
        </w:rPr>
        <w:t>5、供应商的响应文件、材料，不予退还。</w:t>
      </w:r>
    </w:p>
    <w:p>
      <w:pPr>
        <w:numPr>
          <w:ilvl w:val="0"/>
          <w:numId w:val="11"/>
        </w:numPr>
        <w:autoSpaceDE w:val="0"/>
        <w:autoSpaceDN w:val="0"/>
        <w:adjustRightInd w:val="0"/>
        <w:spacing w:line="540" w:lineRule="exact"/>
        <w:ind w:right="246" w:firstLine="471" w:firstLineChars="196"/>
        <w:rPr>
          <w:b/>
        </w:rPr>
      </w:pPr>
      <w:r>
        <w:rPr>
          <w:rFonts w:hint="eastAsia"/>
          <w:b/>
        </w:rPr>
        <w:t>谈判</w:t>
      </w:r>
    </w:p>
    <w:p>
      <w:pPr>
        <w:spacing w:line="540" w:lineRule="exact"/>
        <w:ind w:firstLine="480" w:firstLineChars="200"/>
      </w:pPr>
      <w:bookmarkStart w:id="41" w:name="_Toc144974528"/>
      <w:bookmarkStart w:id="42" w:name="_Toc179632578"/>
      <w:bookmarkStart w:id="43" w:name="_Toc152042336"/>
      <w:bookmarkStart w:id="44" w:name="_Toc152045560"/>
      <w:r>
        <w:rPr>
          <w:rFonts w:hint="eastAsia"/>
        </w:rPr>
        <w:t>1、谈判时间和地点</w:t>
      </w:r>
      <w:bookmarkEnd w:id="41"/>
      <w:bookmarkEnd w:id="42"/>
      <w:bookmarkEnd w:id="43"/>
      <w:bookmarkEnd w:id="44"/>
    </w:p>
    <w:p>
      <w:pPr>
        <w:spacing w:line="540" w:lineRule="exact"/>
        <w:ind w:firstLine="480" w:firstLineChars="200"/>
      </w:pPr>
      <w:r>
        <w:rPr>
          <w:rFonts w:hint="eastAsia"/>
        </w:rPr>
        <w:t>采购人在本须知前附表规定的响应文件递交截止时间（谈判时间）和地点进行谈判。</w:t>
      </w:r>
    </w:p>
    <w:p>
      <w:pPr>
        <w:spacing w:line="540" w:lineRule="exact"/>
        <w:ind w:firstLine="480" w:firstLineChars="200"/>
      </w:pPr>
      <w:bookmarkStart w:id="45" w:name="_Toc152042337"/>
      <w:bookmarkStart w:id="46" w:name="_Toc152045561"/>
      <w:bookmarkStart w:id="47" w:name="_Toc144974529"/>
      <w:bookmarkStart w:id="48" w:name="_Toc179632579"/>
      <w:r>
        <w:rPr>
          <w:rFonts w:hint="eastAsia"/>
        </w:rPr>
        <w:t>2、 谈判程序</w:t>
      </w:r>
      <w:bookmarkEnd w:id="45"/>
      <w:bookmarkEnd w:id="46"/>
      <w:bookmarkEnd w:id="47"/>
      <w:bookmarkEnd w:id="48"/>
    </w:p>
    <w:p>
      <w:pPr>
        <w:spacing w:line="540" w:lineRule="exact"/>
        <w:ind w:firstLine="480" w:firstLineChars="200"/>
      </w:pPr>
      <w:r>
        <w:rPr>
          <w:rFonts w:hint="eastAsia"/>
        </w:rPr>
        <w:t>2.1 本项目采用现场谈判的方式，法定代表人或其授权委托人应现场参加本项目的谈判。</w:t>
      </w:r>
    </w:p>
    <w:p>
      <w:pPr>
        <w:tabs>
          <w:tab w:val="left" w:pos="9000"/>
        </w:tabs>
        <w:spacing w:line="540" w:lineRule="exact"/>
        <w:ind w:right="-91" w:rightChars="-38" w:firstLine="480" w:firstLineChars="200"/>
      </w:pPr>
      <w:r>
        <w:rPr>
          <w:rFonts w:hint="eastAsia"/>
        </w:rPr>
        <w:t>2.2 由供应商授权代表检查响应文件的密封情况。</w:t>
      </w:r>
    </w:p>
    <w:p>
      <w:pPr>
        <w:tabs>
          <w:tab w:val="left" w:pos="8919"/>
        </w:tabs>
        <w:spacing w:line="540" w:lineRule="exact"/>
        <w:ind w:right="-91" w:rightChars="-38" w:firstLine="480" w:firstLineChars="200"/>
      </w:pPr>
      <w:r>
        <w:rPr>
          <w:rFonts w:hint="eastAsia"/>
        </w:rPr>
        <w:t>2.3 密封情况确认后，由采购代理机构拆封各供应商的响应文件，不宣读供应商报价等内容。</w:t>
      </w:r>
    </w:p>
    <w:p>
      <w:pPr>
        <w:pStyle w:val="2"/>
        <w:spacing w:line="540" w:lineRule="exact"/>
        <w:rPr>
          <w:rFonts w:hAnsi="宋体"/>
          <w:color w:val="auto"/>
        </w:rPr>
      </w:pPr>
      <w:r>
        <w:rPr>
          <w:rFonts w:hint="eastAsia" w:hAnsi="宋体"/>
          <w:color w:val="auto"/>
        </w:rPr>
        <w:t xml:space="preserve">    2.4</w:t>
      </w:r>
      <w:r>
        <w:rPr>
          <w:rFonts w:hAnsi="宋体"/>
          <w:color w:val="auto"/>
        </w:rPr>
        <w:t xml:space="preserve"> </w:t>
      </w:r>
      <w:r>
        <w:rPr>
          <w:rFonts w:hint="eastAsia" w:hAnsi="宋体"/>
          <w:color w:val="auto"/>
        </w:rPr>
        <w:t>初步评审，谈判小组对供应商的资格性和响应性进行评审。</w:t>
      </w:r>
    </w:p>
    <w:p>
      <w:pPr>
        <w:pStyle w:val="2"/>
        <w:spacing w:line="540" w:lineRule="exact"/>
        <w:rPr>
          <w:rFonts w:hAnsi="宋体"/>
          <w:color w:val="auto"/>
        </w:rPr>
      </w:pPr>
      <w:r>
        <w:rPr>
          <w:rFonts w:hint="eastAsia" w:hAnsi="宋体"/>
          <w:color w:val="auto"/>
        </w:rPr>
        <w:t xml:space="preserve">    2.5</w:t>
      </w:r>
      <w:r>
        <w:rPr>
          <w:rFonts w:hAnsi="宋体"/>
          <w:color w:val="auto"/>
        </w:rPr>
        <w:t xml:space="preserve"> </w:t>
      </w:r>
      <w:r>
        <w:rPr>
          <w:rFonts w:hint="eastAsia" w:hAnsi="宋体"/>
          <w:color w:val="auto"/>
        </w:rPr>
        <w:t>根据响应文件的递交顺序，谈判小组对通过初步评审的供应商的报价和其他相关内容，与各供应商进行逐一谈判。</w:t>
      </w:r>
    </w:p>
    <w:p>
      <w:pPr>
        <w:tabs>
          <w:tab w:val="left" w:pos="8919"/>
        </w:tabs>
        <w:spacing w:line="540" w:lineRule="exact"/>
        <w:ind w:right="-91" w:rightChars="-38" w:firstLine="480" w:firstLineChars="200"/>
      </w:pPr>
      <w:r>
        <w:rPr>
          <w:rFonts w:hint="eastAsia"/>
        </w:rPr>
        <w:t>2.5 谈判会结束后，进入综合详细评审阶段，由谈判小组对合格的供应商进行综合分析和比较，确定供应商得分排名。</w:t>
      </w:r>
    </w:p>
    <w:p>
      <w:pPr>
        <w:spacing w:line="540" w:lineRule="exact"/>
        <w:ind w:firstLine="480" w:firstLineChars="200"/>
      </w:pPr>
      <w:r>
        <w:rPr>
          <w:rFonts w:hint="eastAsia"/>
        </w:rPr>
        <w:t>3、谈判小组的纪律要求</w:t>
      </w:r>
    </w:p>
    <w:p>
      <w:pPr>
        <w:spacing w:line="540" w:lineRule="exact"/>
        <w:ind w:firstLine="480" w:firstLineChars="200"/>
      </w:pPr>
      <w:r>
        <w:rPr>
          <w:rFonts w:hint="eastAsia"/>
        </w:rPr>
        <w:t>谈判小组应当客观、公正地履行职责，遵守职业道德，对所提出的评审意见承担个人责任。</w:t>
      </w:r>
    </w:p>
    <w:p>
      <w:pPr>
        <w:spacing w:line="540" w:lineRule="exact"/>
        <w:ind w:firstLine="480" w:firstLineChars="200"/>
      </w:pPr>
      <w:r>
        <w:rPr>
          <w:rFonts w:hint="eastAsia"/>
        </w:rPr>
        <w:t>谈判小组不得与任何供应商或者与谈判结果有利害关系的人进行私下接触，不得收受供应商、中介人、其他利害关系人的财物或者其他好处。</w:t>
      </w:r>
    </w:p>
    <w:p>
      <w:pPr>
        <w:spacing w:line="540" w:lineRule="exact"/>
        <w:ind w:firstLine="480" w:firstLineChars="200"/>
      </w:pPr>
      <w:bookmarkStart w:id="49" w:name="_Toc144974533"/>
      <w:bookmarkStart w:id="50" w:name="_Toc179632583"/>
      <w:bookmarkStart w:id="51" w:name="_Toc152045565"/>
      <w:bookmarkStart w:id="52" w:name="_Toc152042341"/>
      <w:r>
        <w:rPr>
          <w:rFonts w:hint="eastAsia"/>
        </w:rPr>
        <w:t>4、评</w:t>
      </w:r>
      <w:bookmarkEnd w:id="49"/>
      <w:bookmarkEnd w:id="50"/>
      <w:bookmarkEnd w:id="51"/>
      <w:bookmarkEnd w:id="52"/>
      <w:r>
        <w:rPr>
          <w:rFonts w:hint="eastAsia"/>
        </w:rPr>
        <w:t>审</w:t>
      </w:r>
    </w:p>
    <w:p>
      <w:pPr>
        <w:spacing w:line="540" w:lineRule="exact"/>
        <w:ind w:firstLine="480" w:firstLineChars="200"/>
      </w:pPr>
      <w:r>
        <w:rPr>
          <w:rFonts w:hint="eastAsia"/>
        </w:rPr>
        <w:t>4.1谈判小组会按照“评审办法”规定的方法、评审因素、标准和程序对响应进行评审。“评审办法”没有规定的方法、评审因素和标准，不作为评审依据。</w:t>
      </w:r>
    </w:p>
    <w:p>
      <w:pPr>
        <w:tabs>
          <w:tab w:val="left" w:pos="893"/>
        </w:tabs>
        <w:spacing w:line="540" w:lineRule="exact"/>
        <w:ind w:firstLine="480" w:firstLineChars="200"/>
      </w:pPr>
      <w:r>
        <w:rPr>
          <w:rFonts w:hint="eastAsia"/>
        </w:rPr>
        <w:t>4.2评审完成后，谈判小组应当向采购人提交书面评审报告和候选成交供应商名单。谈判小组推荐候选成交供应商的数量见须知前附表。</w:t>
      </w:r>
    </w:p>
    <w:p>
      <w:pPr>
        <w:numPr>
          <w:ilvl w:val="0"/>
          <w:numId w:val="11"/>
        </w:numPr>
        <w:autoSpaceDE w:val="0"/>
        <w:autoSpaceDN w:val="0"/>
        <w:adjustRightInd w:val="0"/>
        <w:spacing w:line="540" w:lineRule="exact"/>
        <w:ind w:right="246" w:firstLine="471" w:firstLineChars="196"/>
        <w:rPr>
          <w:b/>
        </w:rPr>
      </w:pPr>
      <w:bookmarkStart w:id="53" w:name="_Toc12046"/>
      <w:bookmarkStart w:id="54" w:name="_Toc353448497"/>
      <w:bookmarkStart w:id="55" w:name="_Toc23499900"/>
      <w:bookmarkStart w:id="56" w:name="_Toc472003333"/>
      <w:bookmarkStart w:id="57" w:name="_Toc179632584"/>
      <w:bookmarkStart w:id="58" w:name="_Toc10460"/>
      <w:bookmarkStart w:id="59" w:name="_Toc65070831"/>
      <w:bookmarkStart w:id="60" w:name="_Toc18578"/>
      <w:bookmarkStart w:id="61" w:name="_Toc152042342"/>
      <w:bookmarkStart w:id="62" w:name="_Toc152045566"/>
      <w:bookmarkStart w:id="63" w:name="_Toc144974534"/>
      <w:r>
        <w:rPr>
          <w:rFonts w:hint="eastAsia"/>
          <w:b/>
        </w:rPr>
        <w:t>合同协议授予</w:t>
      </w:r>
      <w:bookmarkEnd w:id="53"/>
      <w:bookmarkEnd w:id="54"/>
      <w:bookmarkEnd w:id="55"/>
      <w:bookmarkEnd w:id="56"/>
      <w:bookmarkEnd w:id="57"/>
      <w:bookmarkEnd w:id="58"/>
      <w:bookmarkEnd w:id="59"/>
      <w:bookmarkEnd w:id="60"/>
      <w:bookmarkEnd w:id="61"/>
      <w:bookmarkEnd w:id="62"/>
      <w:bookmarkEnd w:id="63"/>
    </w:p>
    <w:p>
      <w:pPr>
        <w:spacing w:line="540" w:lineRule="exact"/>
        <w:ind w:firstLine="480" w:firstLineChars="200"/>
      </w:pPr>
      <w:bookmarkStart w:id="64" w:name="_Toc144974535"/>
      <w:bookmarkStart w:id="65" w:name="_Toc152045567"/>
      <w:bookmarkStart w:id="66" w:name="_Toc179632585"/>
      <w:bookmarkStart w:id="67" w:name="_Toc152042343"/>
      <w:r>
        <w:rPr>
          <w:rFonts w:hint="eastAsia"/>
        </w:rPr>
        <w:t>1、成交方式</w:t>
      </w:r>
      <w:bookmarkEnd w:id="64"/>
      <w:bookmarkEnd w:id="65"/>
      <w:bookmarkEnd w:id="66"/>
      <w:bookmarkEnd w:id="67"/>
    </w:p>
    <w:p>
      <w:pPr>
        <w:spacing w:line="540" w:lineRule="exact"/>
        <w:ind w:firstLine="480" w:firstLineChars="200"/>
      </w:pPr>
      <w:r>
        <w:rPr>
          <w:rFonts w:hint="eastAsia"/>
        </w:rPr>
        <w:t>1.1采购人授权谈判小组推荐按照得分高低排名前</w:t>
      </w:r>
      <w:r>
        <w:t>1</w:t>
      </w:r>
      <w:r>
        <w:rPr>
          <w:rFonts w:hint="eastAsia"/>
        </w:rPr>
        <w:t>名的供应商为成交供应商。</w:t>
      </w:r>
    </w:p>
    <w:p>
      <w:pPr>
        <w:spacing w:line="540" w:lineRule="exact"/>
        <w:ind w:firstLine="480" w:firstLineChars="200"/>
      </w:pPr>
      <w:r>
        <w:rPr>
          <w:rFonts w:hint="eastAsia"/>
        </w:rPr>
        <w:t>1.2若排名第一和第二的候选成交供应商放弃入围、因不可抗力不能履行合同协议、不按照采购文件要求提交履约保证金，或者被查实存在影响成交结果的违法行为等情形，不符合成交条件的，采购人可以按照谈判小组提出的候选成交供应商名单排序依次确定其他候选成交供应商为成交供应商，也可以重新谈判。</w:t>
      </w:r>
    </w:p>
    <w:p>
      <w:pPr>
        <w:pStyle w:val="2"/>
        <w:numPr>
          <w:ilvl w:val="0"/>
          <w:numId w:val="12"/>
        </w:numPr>
        <w:spacing w:line="540" w:lineRule="exact"/>
        <w:rPr>
          <w:rFonts w:hAnsi="宋体"/>
          <w:color w:val="auto"/>
        </w:rPr>
      </w:pPr>
      <w:r>
        <w:rPr>
          <w:rFonts w:hint="eastAsia" w:hAnsi="宋体"/>
          <w:color w:val="auto"/>
        </w:rPr>
        <w:t>成交通知</w:t>
      </w:r>
    </w:p>
    <w:p>
      <w:pPr>
        <w:spacing w:line="540" w:lineRule="exact"/>
        <w:ind w:firstLine="480" w:firstLineChars="200"/>
      </w:pPr>
      <w:r>
        <w:rPr>
          <w:rFonts w:hint="eastAsia"/>
        </w:rPr>
        <w:t>采购人以书面形式向成交供应商发出成交通知书，同时将成交结果通知未成交的供应商。</w:t>
      </w:r>
    </w:p>
    <w:p>
      <w:pPr>
        <w:pStyle w:val="2"/>
        <w:numPr>
          <w:ilvl w:val="0"/>
          <w:numId w:val="12"/>
        </w:numPr>
        <w:spacing w:line="540" w:lineRule="exact"/>
        <w:rPr>
          <w:rFonts w:hAnsi="宋体"/>
          <w:color w:val="auto"/>
        </w:rPr>
      </w:pPr>
      <w:r>
        <w:rPr>
          <w:rFonts w:hint="eastAsia" w:hAnsi="宋体"/>
          <w:color w:val="auto"/>
        </w:rPr>
        <w:t>签订合同协议</w:t>
      </w:r>
    </w:p>
    <w:p>
      <w:pPr>
        <w:spacing w:line="540" w:lineRule="exact"/>
        <w:ind w:firstLine="480" w:firstLineChars="200"/>
      </w:pPr>
      <w:r>
        <w:rPr>
          <w:rFonts w:hint="eastAsia"/>
        </w:rPr>
        <w:t xml:space="preserve">采购人和成交供应商应当自成交通知书发出之日起10天内，根据谈判文件和成交供应商的响应文件订立书面合同协议。成交供应商无正当理由拒签合同协议的，采购人取消其成交资格，其响应保证金不予退还；给采购人造成的损失超过响应保证金数额的，成交供应商还应当对超过部分予以赔偿。 </w:t>
      </w:r>
    </w:p>
    <w:p>
      <w:pPr>
        <w:autoSpaceDE w:val="0"/>
        <w:autoSpaceDN w:val="0"/>
        <w:adjustRightInd w:val="0"/>
        <w:spacing w:line="540" w:lineRule="exact"/>
        <w:ind w:right="246" w:firstLine="471" w:firstLineChars="196"/>
      </w:pPr>
      <w:bookmarkStart w:id="68" w:name="_Toc23605"/>
      <w:bookmarkStart w:id="69" w:name="_Toc65070833"/>
      <w:bookmarkStart w:id="70" w:name="_Toc18052"/>
      <w:bookmarkStart w:id="71" w:name="_Toc23499902"/>
      <w:r>
        <w:rPr>
          <w:rFonts w:hint="eastAsia"/>
          <w:b/>
        </w:rPr>
        <w:t>八.、纪律和监督</w:t>
      </w:r>
      <w:bookmarkEnd w:id="68"/>
      <w:bookmarkEnd w:id="69"/>
      <w:bookmarkEnd w:id="70"/>
      <w:bookmarkEnd w:id="71"/>
    </w:p>
    <w:p>
      <w:pPr>
        <w:spacing w:line="540" w:lineRule="exact"/>
        <w:ind w:firstLine="480" w:firstLineChars="200"/>
      </w:pPr>
      <w:r>
        <w:rPr>
          <w:rFonts w:hint="eastAsia"/>
        </w:rPr>
        <w:t>供应商若对谈判文件、谈判现场或成交结果有异议的，请按要求将加盖公章的电子版及书面文件交与采购代理机构。</w:t>
      </w:r>
    </w:p>
    <w:p>
      <w:pPr>
        <w:autoSpaceDE w:val="0"/>
        <w:autoSpaceDN w:val="0"/>
        <w:adjustRightInd w:val="0"/>
        <w:spacing w:line="540" w:lineRule="exact"/>
        <w:ind w:right="246" w:firstLine="471" w:firstLineChars="196"/>
        <w:rPr>
          <w:b/>
        </w:rPr>
      </w:pPr>
      <w:r>
        <w:rPr>
          <w:rFonts w:hint="eastAsia"/>
          <w:b/>
        </w:rPr>
        <w:t>九、有关说明及要求</w:t>
      </w:r>
    </w:p>
    <w:p>
      <w:pPr>
        <w:autoSpaceDE w:val="0"/>
        <w:autoSpaceDN w:val="0"/>
        <w:adjustRightInd w:val="0"/>
        <w:spacing w:line="540" w:lineRule="exact"/>
        <w:ind w:left="211" w:leftChars="88" w:right="246" w:firstLine="480" w:firstLineChars="200"/>
      </w:pPr>
      <w:r>
        <w:rPr>
          <w:rFonts w:hint="eastAsia"/>
        </w:rPr>
        <w:t>本次谈判的成交供应商与采购人签订合同协议。</w:t>
      </w:r>
    </w:p>
    <w:p>
      <w:pPr>
        <w:pStyle w:val="21"/>
        <w:tabs>
          <w:tab w:val="left" w:pos="2291"/>
        </w:tabs>
        <w:spacing w:before="79" w:line="540" w:lineRule="exact"/>
        <w:jc w:val="center"/>
        <w:outlineLvl w:val="0"/>
        <w:rPr>
          <w:rFonts w:hAnsi="宋体" w:eastAsia="宋体"/>
          <w:kern w:val="0"/>
        </w:rPr>
      </w:pPr>
      <w:bookmarkStart w:id="72" w:name="_Toc481863372"/>
      <w:r>
        <w:rPr>
          <w:rFonts w:hAnsi="宋体" w:eastAsia="宋体"/>
          <w:kern w:val="0"/>
        </w:rPr>
        <w:br w:type="page"/>
      </w:r>
      <w:bookmarkStart w:id="73" w:name="_Toc65610973"/>
      <w:bookmarkStart w:id="74" w:name="_Toc79067226"/>
      <w:r>
        <w:rPr>
          <w:rFonts w:hint="eastAsia" w:hAnsi="宋体" w:eastAsia="宋体"/>
          <w:b/>
          <w:sz w:val="28"/>
          <w:szCs w:val="28"/>
        </w:rPr>
        <w:t xml:space="preserve">第三部分 </w:t>
      </w:r>
      <w:bookmarkEnd w:id="72"/>
      <w:bookmarkEnd w:id="73"/>
      <w:r>
        <w:rPr>
          <w:rFonts w:hint="eastAsia" w:hAnsi="宋体" w:eastAsia="宋体"/>
          <w:b/>
          <w:sz w:val="28"/>
          <w:szCs w:val="28"/>
        </w:rPr>
        <w:t>评审办法</w:t>
      </w:r>
      <w:bookmarkEnd w:id="74"/>
    </w:p>
    <w:p>
      <w:pPr>
        <w:spacing w:line="540" w:lineRule="exact"/>
        <w:ind w:firstLine="480" w:firstLineChars="200"/>
        <w:rPr>
          <w:b/>
        </w:rPr>
      </w:pPr>
      <w:r>
        <w:rPr>
          <w:rFonts w:hint="eastAsia"/>
          <w:b/>
        </w:rPr>
        <w:t>一、谈判会议</w:t>
      </w:r>
    </w:p>
    <w:p>
      <w:pPr>
        <w:spacing w:line="540" w:lineRule="exact"/>
        <w:ind w:firstLine="480" w:firstLineChars="200"/>
      </w:pPr>
      <w:r>
        <w:t>1</w:t>
      </w:r>
      <w:r>
        <w:rPr>
          <w:rFonts w:hint="eastAsia"/>
        </w:rPr>
        <w:t>、谈判会议由采购代理机构主持。</w:t>
      </w:r>
    </w:p>
    <w:p>
      <w:pPr>
        <w:tabs>
          <w:tab w:val="left" w:pos="9000"/>
        </w:tabs>
        <w:spacing w:line="540" w:lineRule="exact"/>
        <w:ind w:right="-91" w:rightChars="-38" w:firstLine="480" w:firstLineChars="200"/>
      </w:pPr>
      <w:r>
        <w:t>2</w:t>
      </w:r>
      <w:r>
        <w:rPr>
          <w:rFonts w:hint="eastAsia"/>
        </w:rPr>
        <w:t>、本项目采购代理机构将于响应文件递交截止时间的同一时间和地点举行谈判会议，并在此邀请所有供应商代表参加现场谈判会议。</w:t>
      </w:r>
    </w:p>
    <w:p>
      <w:pPr>
        <w:autoSpaceDE w:val="0"/>
        <w:autoSpaceDN w:val="0"/>
        <w:adjustRightInd w:val="0"/>
        <w:spacing w:line="540" w:lineRule="exact"/>
        <w:ind w:right="246" w:firstLine="471" w:firstLineChars="196"/>
        <w:rPr>
          <w:b/>
        </w:rPr>
      </w:pPr>
      <w:r>
        <w:rPr>
          <w:rFonts w:hint="eastAsia"/>
          <w:b/>
        </w:rPr>
        <w:t>二、评审小组</w:t>
      </w:r>
    </w:p>
    <w:p>
      <w:pPr>
        <w:autoSpaceDE w:val="0"/>
        <w:autoSpaceDN w:val="0"/>
        <w:adjustRightInd w:val="0"/>
        <w:spacing w:line="540" w:lineRule="exact"/>
        <w:ind w:left="166" w:right="-81" w:firstLine="480"/>
      </w:pPr>
      <w:r>
        <w:rPr>
          <w:rFonts w:hint="eastAsia"/>
        </w:rPr>
        <w:t>采购代理机构根据本项目的特点组建谈判小组由1名采购人代表和2名经济、技术专业评委共3人以上单数组成。谈判小组负责对响应文件进行综合评审，确定供应商得分排名，推荐候选成交供应商。由采购人根据综合总得分取从高到低排名前</w:t>
      </w:r>
      <w:r>
        <w:t>1</w:t>
      </w:r>
      <w:r>
        <w:rPr>
          <w:rFonts w:hint="eastAsia"/>
        </w:rPr>
        <w:t>名的候选成交供应商作为成交供应商。</w:t>
      </w:r>
    </w:p>
    <w:p>
      <w:pPr>
        <w:autoSpaceDE w:val="0"/>
        <w:autoSpaceDN w:val="0"/>
        <w:adjustRightInd w:val="0"/>
        <w:spacing w:line="540" w:lineRule="exact"/>
        <w:ind w:right="246" w:firstLine="471" w:firstLineChars="196"/>
        <w:rPr>
          <w:b/>
        </w:rPr>
      </w:pPr>
      <w:r>
        <w:rPr>
          <w:rFonts w:hint="eastAsia"/>
          <w:b/>
        </w:rPr>
        <w:t>三、谈判采购原则和评审办法</w:t>
      </w:r>
    </w:p>
    <w:p>
      <w:pPr>
        <w:autoSpaceDE w:val="0"/>
        <w:autoSpaceDN w:val="0"/>
        <w:adjustRightInd w:val="0"/>
        <w:spacing w:line="540" w:lineRule="exact"/>
        <w:ind w:right="246" w:firstLine="480" w:firstLineChars="200"/>
      </w:pPr>
      <w:r>
        <w:rPr>
          <w:rFonts w:hint="eastAsia"/>
        </w:rPr>
        <w:t>1、谈判采购原则</w:t>
      </w:r>
    </w:p>
    <w:p>
      <w:pPr>
        <w:tabs>
          <w:tab w:val="left" w:pos="8919"/>
        </w:tabs>
        <w:autoSpaceDE w:val="0"/>
        <w:autoSpaceDN w:val="0"/>
        <w:adjustRightInd w:val="0"/>
        <w:spacing w:line="540" w:lineRule="exact"/>
        <w:ind w:left="99" w:right="-81" w:firstLine="480"/>
      </w:pPr>
      <w:r>
        <w:rPr>
          <w:rFonts w:hint="eastAsia"/>
        </w:rPr>
        <w:t>“公平、公正、科学、择优”为本次谈判采购的基本原则，谈判小组按照这一原则的要求，公正、平等地对待各供应商。</w:t>
      </w:r>
    </w:p>
    <w:p>
      <w:pPr>
        <w:spacing w:line="540" w:lineRule="exact"/>
        <w:ind w:firstLine="480" w:firstLineChars="200"/>
      </w:pPr>
      <w:r>
        <w:rPr>
          <w:rFonts w:hint="eastAsia"/>
        </w:rPr>
        <w:t>谈判小组根据谈判文件约定评分办法，确定供应商得分以及排名。</w:t>
      </w:r>
    </w:p>
    <w:p>
      <w:pPr>
        <w:autoSpaceDE w:val="0"/>
        <w:autoSpaceDN w:val="0"/>
        <w:adjustRightInd w:val="0"/>
        <w:spacing w:before="3" w:line="540" w:lineRule="exact"/>
        <w:ind w:right="246" w:firstLine="480" w:firstLineChars="200"/>
      </w:pPr>
      <w:r>
        <w:rPr>
          <w:rFonts w:hint="eastAsia"/>
        </w:rPr>
        <w:t>2、评审办法</w:t>
      </w:r>
    </w:p>
    <w:p>
      <w:pPr>
        <w:autoSpaceDE w:val="0"/>
        <w:autoSpaceDN w:val="0"/>
        <w:adjustRightInd w:val="0"/>
        <w:spacing w:line="540" w:lineRule="exact"/>
        <w:ind w:left="99" w:right="-81" w:firstLine="480"/>
      </w:pPr>
      <w:r>
        <w:rPr>
          <w:rFonts w:hint="eastAsia"/>
        </w:rPr>
        <w:t>本次谈判采购采用百分制综合评分法，谈判小组综合评定各供应商提交的响应文件，以综合总得分从高到低进行排名，推荐候选成交供应商。综合总得分相同时，以响应报价低的排序在前。由采购人依据综合总得分从高到低排名前</w:t>
      </w:r>
      <w:r>
        <w:t>1</w:t>
      </w:r>
      <w:r>
        <w:rPr>
          <w:rFonts w:hint="eastAsia"/>
        </w:rPr>
        <w:t>名的供应商作为成交供应商。</w:t>
      </w:r>
    </w:p>
    <w:p>
      <w:pPr>
        <w:spacing w:line="500" w:lineRule="exact"/>
        <w:ind w:firstLine="470" w:firstLineChars="196"/>
      </w:pPr>
      <w:r>
        <w:rPr>
          <w:rFonts w:hint="eastAsia"/>
        </w:rPr>
        <w:t>2.1初步评审</w:t>
      </w:r>
    </w:p>
    <w:p>
      <w:pPr>
        <w:spacing w:line="500" w:lineRule="exact"/>
        <w:ind w:right="-91" w:rightChars="-38" w:firstLine="470" w:firstLineChars="196"/>
      </w:pPr>
      <w:r>
        <w:rPr>
          <w:rFonts w:hint="eastAsia"/>
        </w:rPr>
        <w:t>2.1.1 资格性评审：谈判小组将依据供应商须知前附表中的“供应商资格”的要求，对各供应商进行资格性评审，</w:t>
      </w:r>
      <w:r>
        <w:rPr>
          <w:rFonts w:hint="eastAsia"/>
          <w:szCs w:val="21"/>
        </w:rPr>
        <w:t>有一项规定的要求没有得到响应，则该响应文件将被否决</w:t>
      </w:r>
      <w:r>
        <w:rPr>
          <w:rFonts w:hint="eastAsia"/>
        </w:rPr>
        <w:t>。</w:t>
      </w:r>
    </w:p>
    <w:p>
      <w:pPr>
        <w:spacing w:line="540" w:lineRule="exact"/>
        <w:ind w:firstLine="470" w:firstLineChars="196"/>
      </w:pPr>
      <w:r>
        <w:rPr>
          <w:rFonts w:hint="eastAsia"/>
        </w:rPr>
        <w:t>2.1.2响应性评审：响应文件有下列情况之一者将</w:t>
      </w:r>
      <w:r>
        <w:rPr>
          <w:rFonts w:hint="eastAsia"/>
          <w:szCs w:val="21"/>
        </w:rPr>
        <w:t>被否决</w:t>
      </w:r>
      <w:r>
        <w:rPr>
          <w:rFonts w:hint="eastAsia"/>
        </w:rPr>
        <w:t>。</w:t>
      </w:r>
    </w:p>
    <w:p>
      <w:pPr>
        <w:spacing w:line="540" w:lineRule="exact"/>
      </w:pPr>
      <w:r>
        <w:rPr>
          <w:rFonts w:hint="eastAsia"/>
        </w:rPr>
        <w:t xml:space="preserve">  （1）未经法定代表人（或授权代表）签署或未盖供应商公章</w:t>
      </w:r>
      <w:r>
        <w:rPr>
          <w:rFonts w:hint="eastAsia"/>
          <w:szCs w:val="21"/>
        </w:rPr>
        <w:t>；</w:t>
      </w:r>
    </w:p>
    <w:p>
      <w:pPr>
        <w:spacing w:line="540" w:lineRule="exact"/>
        <w:ind w:firstLine="240" w:firstLineChars="100"/>
      </w:pPr>
      <w:r>
        <w:rPr>
          <w:rFonts w:hint="eastAsia"/>
        </w:rPr>
        <w:t>（2）未按规定的格式填写，内容不全或字迹模糊辩认不清的</w:t>
      </w:r>
      <w:r>
        <w:rPr>
          <w:rFonts w:hint="eastAsia"/>
          <w:szCs w:val="21"/>
        </w:rPr>
        <w:t>；</w:t>
      </w:r>
    </w:p>
    <w:p>
      <w:pPr>
        <w:spacing w:line="360" w:lineRule="auto"/>
        <w:ind w:firstLine="240" w:firstLineChars="100"/>
        <w:rPr>
          <w:szCs w:val="21"/>
        </w:rPr>
      </w:pPr>
      <w:r>
        <w:rPr>
          <w:rFonts w:hint="eastAsia"/>
          <w:szCs w:val="21"/>
        </w:rPr>
        <w:t>（3）响应有效期不足的；</w:t>
      </w:r>
    </w:p>
    <w:p>
      <w:pPr>
        <w:spacing w:line="360" w:lineRule="auto"/>
        <w:ind w:firstLine="240" w:firstLineChars="100"/>
        <w:rPr>
          <w:szCs w:val="21"/>
        </w:rPr>
      </w:pPr>
      <w:r>
        <w:rPr>
          <w:rFonts w:hint="eastAsia"/>
          <w:szCs w:val="21"/>
        </w:rPr>
        <w:t>（4）</w:t>
      </w:r>
      <w:r>
        <w:rPr>
          <w:rFonts w:hint="eastAsia"/>
        </w:rPr>
        <w:t>供应商</w:t>
      </w:r>
      <w:r>
        <w:rPr>
          <w:rFonts w:hint="eastAsia"/>
          <w:szCs w:val="21"/>
        </w:rPr>
        <w:t>在一份响应文件中对同一服务报有两个或两个以上报价的；</w:t>
      </w:r>
    </w:p>
    <w:p>
      <w:pPr>
        <w:spacing w:line="360" w:lineRule="auto"/>
        <w:ind w:firstLine="240" w:firstLineChars="100"/>
        <w:rPr>
          <w:szCs w:val="21"/>
        </w:rPr>
      </w:pPr>
      <w:r>
        <w:rPr>
          <w:rFonts w:hint="eastAsia"/>
          <w:szCs w:val="21"/>
        </w:rPr>
        <w:t>（5）谈判小组认为不能实质上满足响应文件要求的；</w:t>
      </w:r>
    </w:p>
    <w:p>
      <w:pPr>
        <w:spacing w:line="360" w:lineRule="auto"/>
        <w:ind w:firstLine="240" w:firstLineChars="100"/>
        <w:rPr>
          <w:szCs w:val="21"/>
        </w:rPr>
      </w:pPr>
      <w:r>
        <w:rPr>
          <w:rFonts w:hint="eastAsia"/>
        </w:rPr>
        <w:t>（6）</w:t>
      </w:r>
      <w:r>
        <w:rPr>
          <w:rFonts w:hint="eastAsia"/>
          <w:szCs w:val="21"/>
        </w:rPr>
        <w:t>响应文件中附有采购人不能接受的条件的；</w:t>
      </w:r>
    </w:p>
    <w:p>
      <w:pPr>
        <w:spacing w:line="360" w:lineRule="auto"/>
        <w:ind w:firstLine="240" w:firstLineChars="100"/>
      </w:pPr>
      <w:r>
        <w:rPr>
          <w:rFonts w:hint="eastAsia"/>
        </w:rPr>
        <w:t>（7）</w:t>
      </w:r>
      <w:r>
        <w:t xml:space="preserve"> </w:t>
      </w:r>
      <w:r>
        <w:rPr>
          <w:rFonts w:hint="eastAsia"/>
        </w:rPr>
        <w:t>供应商利用关系向采购人施加</w:t>
      </w:r>
    </w:p>
    <w:p>
      <w:pPr>
        <w:spacing w:line="360" w:lineRule="auto"/>
        <w:ind w:firstLine="240" w:firstLineChars="100"/>
      </w:pPr>
      <w:r>
        <w:rPr>
          <w:rFonts w:hint="eastAsia"/>
        </w:rPr>
        <w:t>压力及影响的。</w:t>
      </w:r>
    </w:p>
    <w:p>
      <w:pPr>
        <w:spacing w:line="500" w:lineRule="exact"/>
        <w:ind w:firstLine="470" w:firstLineChars="196"/>
      </w:pPr>
      <w:r>
        <w:rPr>
          <w:rFonts w:hint="eastAsia"/>
        </w:rPr>
        <w:t>3、谈判</w:t>
      </w:r>
    </w:p>
    <w:p>
      <w:pPr>
        <w:spacing w:line="360" w:lineRule="auto"/>
        <w:ind w:firstLine="480" w:firstLineChars="200"/>
        <w:rPr>
          <w:szCs w:val="21"/>
        </w:rPr>
      </w:pPr>
      <w:r>
        <w:rPr>
          <w:rFonts w:hint="eastAsia"/>
          <w:szCs w:val="21"/>
        </w:rPr>
        <w:t>3.1谈判小组根据响应文件的提交的顺序与通过初步评审的供应商进行谈判。</w:t>
      </w:r>
    </w:p>
    <w:p>
      <w:pPr>
        <w:spacing w:line="360" w:lineRule="auto"/>
        <w:ind w:firstLine="480" w:firstLineChars="200"/>
        <w:rPr>
          <w:szCs w:val="21"/>
        </w:rPr>
      </w:pPr>
      <w:r>
        <w:rPr>
          <w:rFonts w:hint="eastAsia"/>
          <w:szCs w:val="21"/>
        </w:rPr>
        <w:t>3.2谈判</w:t>
      </w:r>
      <w:r>
        <w:rPr>
          <w:szCs w:val="21"/>
        </w:rPr>
        <w:t>小组所有成员应当集中与单一供应商分别进行</w:t>
      </w:r>
      <w:r>
        <w:rPr>
          <w:rFonts w:hint="eastAsia"/>
          <w:szCs w:val="21"/>
        </w:rPr>
        <w:t>谈判</w:t>
      </w:r>
      <w:r>
        <w:rPr>
          <w:szCs w:val="21"/>
        </w:rPr>
        <w:t>，并给予所有参加</w:t>
      </w:r>
      <w:r>
        <w:rPr>
          <w:rFonts w:hint="eastAsia"/>
          <w:szCs w:val="21"/>
        </w:rPr>
        <w:t>谈判</w:t>
      </w:r>
      <w:r>
        <w:rPr>
          <w:szCs w:val="21"/>
        </w:rPr>
        <w:t>的供应商平等的</w:t>
      </w:r>
      <w:r>
        <w:rPr>
          <w:rFonts w:hint="eastAsia"/>
          <w:szCs w:val="21"/>
        </w:rPr>
        <w:t>谈判</w:t>
      </w:r>
      <w:r>
        <w:rPr>
          <w:szCs w:val="21"/>
        </w:rPr>
        <w:t>机会。供应商法定代表人或其授权委托人</w:t>
      </w:r>
      <w:r>
        <w:rPr>
          <w:rFonts w:hint="eastAsia"/>
          <w:szCs w:val="21"/>
        </w:rPr>
        <w:t>应参加现场谈判</w:t>
      </w:r>
      <w:r>
        <w:rPr>
          <w:szCs w:val="21"/>
        </w:rPr>
        <w:t>，</w:t>
      </w:r>
      <w:r>
        <w:rPr>
          <w:rFonts w:hint="eastAsia"/>
          <w:szCs w:val="21"/>
        </w:rPr>
        <w:t>供应商的</w:t>
      </w:r>
      <w:r>
        <w:rPr>
          <w:szCs w:val="21"/>
        </w:rPr>
        <w:t>法定代表人或其授权委托人</w:t>
      </w:r>
      <w:r>
        <w:rPr>
          <w:rFonts w:hint="eastAsia"/>
          <w:szCs w:val="21"/>
        </w:rPr>
        <w:t>做出的承诺构成响应文件的组成部分。</w:t>
      </w:r>
    </w:p>
    <w:p>
      <w:pPr>
        <w:spacing w:line="360" w:lineRule="auto"/>
        <w:ind w:firstLine="480" w:firstLineChars="200"/>
        <w:rPr>
          <w:szCs w:val="21"/>
        </w:rPr>
      </w:pPr>
      <w:r>
        <w:rPr>
          <w:rFonts w:hint="eastAsia"/>
          <w:szCs w:val="21"/>
        </w:rPr>
        <w:t>3.3</w:t>
      </w:r>
      <w:r>
        <w:rPr>
          <w:szCs w:val="21"/>
        </w:rPr>
        <w:t>开展</w:t>
      </w:r>
      <w:r>
        <w:rPr>
          <w:rFonts w:hint="eastAsia"/>
          <w:szCs w:val="21"/>
        </w:rPr>
        <w:t>谈判</w:t>
      </w:r>
      <w:r>
        <w:rPr>
          <w:szCs w:val="21"/>
        </w:rPr>
        <w:t>，按</w:t>
      </w:r>
      <w:r>
        <w:rPr>
          <w:rFonts w:hint="eastAsia"/>
          <w:szCs w:val="21"/>
        </w:rPr>
        <w:t>谈判</w:t>
      </w:r>
      <w:r>
        <w:rPr>
          <w:szCs w:val="21"/>
        </w:rPr>
        <w:t>项目内容与各供应商进行</w:t>
      </w:r>
      <w:r>
        <w:rPr>
          <w:rFonts w:hint="eastAsia"/>
          <w:szCs w:val="21"/>
        </w:rPr>
        <w:t>谈判</w:t>
      </w:r>
      <w:r>
        <w:rPr>
          <w:szCs w:val="21"/>
        </w:rPr>
        <w:t>。</w:t>
      </w:r>
      <w:r>
        <w:rPr>
          <w:rFonts w:hint="eastAsia"/>
          <w:szCs w:val="21"/>
        </w:rPr>
        <w:t>谈判</w:t>
      </w:r>
      <w:r>
        <w:rPr>
          <w:szCs w:val="21"/>
        </w:rPr>
        <w:t>小组可视情况与各供应商分别进行</w:t>
      </w:r>
      <w:r>
        <w:rPr>
          <w:rFonts w:hint="eastAsia"/>
          <w:szCs w:val="21"/>
        </w:rPr>
        <w:t>谈判</w:t>
      </w:r>
      <w:r>
        <w:rPr>
          <w:szCs w:val="21"/>
        </w:rPr>
        <w:t>。</w:t>
      </w:r>
      <w:r>
        <w:rPr>
          <w:rFonts w:hint="eastAsia"/>
          <w:szCs w:val="21"/>
        </w:rPr>
        <w:t>谈判</w:t>
      </w:r>
      <w:r>
        <w:rPr>
          <w:szCs w:val="21"/>
        </w:rPr>
        <w:t>的内容可能涉及</w:t>
      </w:r>
      <w:r>
        <w:rPr>
          <w:rFonts w:hint="eastAsia"/>
          <w:szCs w:val="21"/>
        </w:rPr>
        <w:t>技术、服务</w:t>
      </w:r>
      <w:r>
        <w:rPr>
          <w:szCs w:val="21"/>
        </w:rPr>
        <w:t>要求、</w:t>
      </w:r>
      <w:r>
        <w:rPr>
          <w:rFonts w:hint="eastAsia"/>
          <w:szCs w:val="21"/>
        </w:rPr>
        <w:t>合同协议条款</w:t>
      </w:r>
      <w:r>
        <w:rPr>
          <w:szCs w:val="21"/>
        </w:rPr>
        <w:t>等。</w:t>
      </w:r>
      <w:r>
        <w:rPr>
          <w:rFonts w:hint="eastAsia"/>
          <w:szCs w:val="21"/>
        </w:rPr>
        <w:t>但是不得实质性改变评审标准和改变可能影响初步评审结果的内容。</w:t>
      </w:r>
    </w:p>
    <w:p>
      <w:pPr>
        <w:spacing w:line="360" w:lineRule="auto"/>
        <w:ind w:firstLine="480" w:firstLineChars="200"/>
        <w:rPr>
          <w:szCs w:val="21"/>
        </w:rPr>
      </w:pPr>
      <w:r>
        <w:rPr>
          <w:rFonts w:hint="eastAsia"/>
          <w:szCs w:val="21"/>
        </w:rPr>
        <w:t>3.4</w:t>
      </w:r>
      <w:r>
        <w:rPr>
          <w:szCs w:val="21"/>
        </w:rPr>
        <w:t>供应商所作的重要答复及补充均应以书面形式</w:t>
      </w:r>
      <w:r>
        <w:rPr>
          <w:rFonts w:hint="eastAsia"/>
          <w:szCs w:val="21"/>
        </w:rPr>
        <w:t>递交</w:t>
      </w:r>
      <w:r>
        <w:rPr>
          <w:szCs w:val="21"/>
        </w:rPr>
        <w:t>，并经法定代表人或其授权委托人签署，</w:t>
      </w:r>
      <w:r>
        <w:rPr>
          <w:rFonts w:hint="eastAsia"/>
          <w:szCs w:val="21"/>
        </w:rPr>
        <w:t>供应商应将纸质版答复和补充文件现场递交给采购代理机构，答复和补充文件将</w:t>
      </w:r>
      <w:r>
        <w:rPr>
          <w:szCs w:val="21"/>
        </w:rPr>
        <w:t>作为响应文件的一部分，对供应商有约束力。在</w:t>
      </w:r>
      <w:r>
        <w:rPr>
          <w:rFonts w:hint="eastAsia"/>
          <w:szCs w:val="21"/>
        </w:rPr>
        <w:t>谈判</w:t>
      </w:r>
      <w:r>
        <w:rPr>
          <w:szCs w:val="21"/>
        </w:rPr>
        <w:t>中，</w:t>
      </w:r>
      <w:r>
        <w:rPr>
          <w:rFonts w:hint="eastAsia"/>
          <w:szCs w:val="21"/>
        </w:rPr>
        <w:t>谈判</w:t>
      </w:r>
      <w:r>
        <w:rPr>
          <w:szCs w:val="21"/>
        </w:rPr>
        <w:t>的任何一方不得透露与</w:t>
      </w:r>
      <w:r>
        <w:rPr>
          <w:rFonts w:hint="eastAsia"/>
          <w:szCs w:val="21"/>
        </w:rPr>
        <w:t>谈判</w:t>
      </w:r>
      <w:r>
        <w:rPr>
          <w:szCs w:val="21"/>
        </w:rPr>
        <w:t>有关的其他供应商的技术资料、价格和其他信息。</w:t>
      </w:r>
    </w:p>
    <w:p>
      <w:pPr>
        <w:spacing w:line="360" w:lineRule="auto"/>
        <w:ind w:firstLine="480" w:firstLineChars="200"/>
        <w:rPr>
          <w:szCs w:val="21"/>
        </w:rPr>
      </w:pPr>
      <w:r>
        <w:rPr>
          <w:rFonts w:hint="eastAsia"/>
          <w:szCs w:val="21"/>
        </w:rPr>
        <w:t>3.5谈判</w:t>
      </w:r>
      <w:r>
        <w:rPr>
          <w:szCs w:val="21"/>
        </w:rPr>
        <w:t>小组经与各供应商</w:t>
      </w:r>
      <w:r>
        <w:rPr>
          <w:rFonts w:hint="eastAsia"/>
          <w:szCs w:val="21"/>
        </w:rPr>
        <w:t>谈判</w:t>
      </w:r>
      <w:r>
        <w:rPr>
          <w:szCs w:val="21"/>
        </w:rPr>
        <w:t>后，将要求各</w:t>
      </w:r>
      <w:r>
        <w:rPr>
          <w:rFonts w:hint="eastAsia"/>
          <w:szCs w:val="21"/>
        </w:rPr>
        <w:t>供应商</w:t>
      </w:r>
      <w:r>
        <w:rPr>
          <w:szCs w:val="21"/>
        </w:rPr>
        <w:t>在规定的时间内递交</w:t>
      </w:r>
      <w:r>
        <w:rPr>
          <w:rFonts w:hint="eastAsia"/>
          <w:szCs w:val="21"/>
        </w:rPr>
        <w:t>新的</w:t>
      </w:r>
      <w:r>
        <w:rPr>
          <w:szCs w:val="21"/>
        </w:rPr>
        <w:t>报价，</w:t>
      </w:r>
      <w:r>
        <w:rPr>
          <w:rFonts w:hint="eastAsia"/>
          <w:szCs w:val="21"/>
        </w:rPr>
        <w:t>供应商先将</w:t>
      </w:r>
      <w:r>
        <w:rPr>
          <w:szCs w:val="21"/>
        </w:rPr>
        <w:t>经法定代表人或其授权委托人签署</w:t>
      </w:r>
      <w:r>
        <w:rPr>
          <w:rFonts w:hint="eastAsia"/>
          <w:szCs w:val="21"/>
        </w:rPr>
        <w:t>的新的报价文件现场递交给采购代理机构</w:t>
      </w:r>
      <w:r>
        <w:rPr>
          <w:szCs w:val="21"/>
        </w:rPr>
        <w:t>。</w:t>
      </w:r>
    </w:p>
    <w:p>
      <w:pPr>
        <w:spacing w:line="360" w:lineRule="auto"/>
        <w:ind w:firstLine="480" w:firstLineChars="200"/>
      </w:pPr>
      <w:r>
        <w:rPr>
          <w:rFonts w:hint="eastAsia"/>
          <w:szCs w:val="21"/>
        </w:rPr>
        <w:t>3.6</w:t>
      </w:r>
      <w:r>
        <w:rPr>
          <w:szCs w:val="21"/>
        </w:rPr>
        <w:t>本次</w:t>
      </w:r>
      <w:r>
        <w:rPr>
          <w:rFonts w:hint="eastAsia"/>
          <w:szCs w:val="21"/>
        </w:rPr>
        <w:t>谈判可以要求供应商多次报价</w:t>
      </w:r>
      <w:r>
        <w:rPr>
          <w:szCs w:val="21"/>
        </w:rPr>
        <w:t>，并根据采购文件规定的价格要素评定各供应商最终报价。</w:t>
      </w:r>
    </w:p>
    <w:p>
      <w:pPr>
        <w:spacing w:line="500" w:lineRule="exact"/>
        <w:ind w:firstLine="470" w:firstLineChars="196"/>
      </w:pPr>
      <w:r>
        <w:rPr>
          <w:rFonts w:hint="eastAsia"/>
        </w:rPr>
        <w:t>4、综合评分</w:t>
      </w:r>
    </w:p>
    <w:p>
      <w:pPr>
        <w:spacing w:line="500" w:lineRule="exact"/>
        <w:ind w:right="-91" w:rightChars="-38" w:firstLine="470" w:firstLineChars="196"/>
        <w:rPr>
          <w:b/>
        </w:rPr>
      </w:pPr>
      <w:r>
        <w:rPr>
          <w:rFonts w:hint="eastAsia"/>
        </w:rPr>
        <w:t>谈判会结束后，谈判小组根据评审办法进行综合打分，确定供应商得分排名。</w:t>
      </w:r>
    </w:p>
    <w:p>
      <w:pPr>
        <w:autoSpaceDE w:val="0"/>
        <w:autoSpaceDN w:val="0"/>
        <w:adjustRightInd w:val="0"/>
        <w:spacing w:line="540" w:lineRule="exact"/>
        <w:ind w:right="246" w:firstLine="471" w:firstLineChars="196"/>
        <w:rPr>
          <w:b/>
        </w:rPr>
      </w:pPr>
      <w:bookmarkStart w:id="75" w:name="_Toc133389220"/>
      <w:bookmarkStart w:id="76" w:name="_Toc133321922"/>
      <w:r>
        <w:rPr>
          <w:rFonts w:hint="eastAsia"/>
          <w:b/>
        </w:rPr>
        <w:t>四、评审报告</w:t>
      </w:r>
    </w:p>
    <w:p>
      <w:pPr>
        <w:spacing w:line="360" w:lineRule="auto"/>
        <w:ind w:firstLine="480" w:firstLineChars="200"/>
        <w:rPr>
          <w:szCs w:val="21"/>
        </w:rPr>
      </w:pPr>
      <w:r>
        <w:rPr>
          <w:rFonts w:hint="eastAsia"/>
          <w:szCs w:val="21"/>
        </w:rPr>
        <w:t>1、谈判小组对评审结果进行总结，出具评审报告。</w:t>
      </w:r>
    </w:p>
    <w:p>
      <w:pPr>
        <w:spacing w:line="360" w:lineRule="auto"/>
        <w:ind w:firstLine="480" w:firstLineChars="200"/>
        <w:rPr>
          <w:szCs w:val="21"/>
        </w:rPr>
      </w:pPr>
      <w:r>
        <w:rPr>
          <w:rFonts w:hint="eastAsia"/>
          <w:szCs w:val="21"/>
        </w:rPr>
        <w:t>2、评审报告应经谈判小组成员签字生效。如果有谈判小组成员不同意该报告的结论和建议，可随该报告提交一份说明，详细阐述自己的意见和理由。</w:t>
      </w:r>
    </w:p>
    <w:p>
      <w:pPr>
        <w:autoSpaceDE w:val="0"/>
        <w:autoSpaceDN w:val="0"/>
        <w:adjustRightInd w:val="0"/>
        <w:spacing w:line="540" w:lineRule="exact"/>
        <w:ind w:right="246" w:firstLine="471" w:firstLineChars="196"/>
        <w:rPr>
          <w:b/>
        </w:rPr>
      </w:pPr>
      <w:r>
        <w:rPr>
          <w:rFonts w:hint="eastAsia"/>
          <w:b/>
        </w:rPr>
        <w:t>五、评审决议</w:t>
      </w:r>
    </w:p>
    <w:p>
      <w:pPr>
        <w:spacing w:line="360" w:lineRule="auto"/>
        <w:rPr>
          <w:szCs w:val="21"/>
        </w:rPr>
      </w:pPr>
      <w:r>
        <w:rPr>
          <w:rFonts w:hint="eastAsia"/>
          <w:szCs w:val="21"/>
        </w:rPr>
        <w:tab/>
      </w:r>
      <w:r>
        <w:rPr>
          <w:rFonts w:hint="eastAsia"/>
          <w:szCs w:val="21"/>
        </w:rPr>
        <w:t>在评审过程中专家出现分歧，或须进行讨论形成决议时，应由谈判小组组长组织并主持，各评委在充分讨论、沟通的基础上，进行自由记名投票表决，决议必须有不少于谈判小组总数的2/3的专家赞成方可通过。决议一经通过，谈判小组应遵照执行。</w:t>
      </w:r>
    </w:p>
    <w:p>
      <w:pPr>
        <w:spacing w:line="540" w:lineRule="exact"/>
        <w:ind w:firstLine="480" w:firstLineChars="200"/>
        <w:rPr>
          <w:b/>
        </w:rPr>
      </w:pPr>
      <w:r>
        <w:rPr>
          <w:rFonts w:hint="eastAsia"/>
          <w:b/>
        </w:rPr>
        <w:t>本次谈判采购采用百分制综合评分法，商务部分占</w:t>
      </w:r>
      <w:r>
        <w:rPr>
          <w:b/>
        </w:rPr>
        <w:t>4</w:t>
      </w:r>
      <w:r>
        <w:rPr>
          <w:rFonts w:hint="eastAsia"/>
          <w:b/>
        </w:rPr>
        <w:t>7分、技术部分占53分。</w:t>
      </w:r>
    </w:p>
    <w:p/>
    <w:p/>
    <w:p/>
    <w:p/>
    <w:p/>
    <w:p/>
    <w:p/>
    <w:p/>
    <w:p/>
    <w:p/>
    <w:p/>
    <w:p/>
    <w:p/>
    <w:p/>
    <w:p/>
    <w:p/>
    <w:p/>
    <w:p/>
    <w:p/>
    <w:p/>
    <w:p/>
    <w:p/>
    <w:p/>
    <w:p/>
    <w:p/>
    <w:p/>
    <w:p/>
    <w:p/>
    <w:p/>
    <w:p/>
    <w:p/>
    <w:p>
      <w:pPr>
        <w:jc w:val="center"/>
        <w:rPr>
          <w:b/>
          <w:bCs/>
          <w:sz w:val="28"/>
          <w:szCs w:val="28"/>
        </w:rPr>
      </w:pPr>
      <w:r>
        <w:rPr>
          <w:rFonts w:hint="eastAsia"/>
          <w:b/>
          <w:bCs/>
          <w:sz w:val="28"/>
          <w:szCs w:val="28"/>
        </w:rPr>
        <w:t>评分标准（1</w:t>
      </w:r>
      <w:r>
        <w:rPr>
          <w:b/>
          <w:bCs/>
          <w:sz w:val="28"/>
          <w:szCs w:val="28"/>
        </w:rPr>
        <w:t>00</w:t>
      </w:r>
      <w:r>
        <w:rPr>
          <w:rFonts w:hint="eastAsia"/>
          <w:b/>
          <w:bCs/>
          <w:sz w:val="28"/>
          <w:szCs w:val="28"/>
        </w:rPr>
        <w:t>分）</w:t>
      </w:r>
    </w:p>
    <w:tbl>
      <w:tblPr>
        <w:tblStyle w:val="38"/>
        <w:tblpPr w:leftFromText="180" w:rightFromText="180" w:vertAnchor="text" w:tblpY="314"/>
        <w:tblW w:w="9049" w:type="dxa"/>
        <w:tblInd w:w="0" w:type="dxa"/>
        <w:tblLayout w:type="fixed"/>
        <w:tblCellMar>
          <w:top w:w="0" w:type="dxa"/>
          <w:left w:w="108" w:type="dxa"/>
          <w:bottom w:w="0" w:type="dxa"/>
          <w:right w:w="108" w:type="dxa"/>
        </w:tblCellMar>
      </w:tblPr>
      <w:tblGrid>
        <w:gridCol w:w="787"/>
        <w:gridCol w:w="1902"/>
        <w:gridCol w:w="5726"/>
        <w:gridCol w:w="634"/>
      </w:tblGrid>
      <w:tr>
        <w:trPr>
          <w:trHeight w:val="729"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序号</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项目</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评分内容</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分值</w:t>
            </w:r>
          </w:p>
        </w:tc>
      </w:tr>
      <w:tr>
        <w:trPr>
          <w:trHeight w:val="448" w:hRule="atLeast"/>
        </w:trPr>
        <w:tc>
          <w:tcPr>
            <w:tcW w:w="904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pStyle w:val="32"/>
              <w:spacing w:line="320" w:lineRule="exact"/>
              <w:contextualSpacing/>
              <w:rPr>
                <w:rFonts w:ascii="宋体" w:hAnsi="宋体"/>
                <w:sz w:val="24"/>
              </w:rPr>
            </w:pPr>
            <w:r>
              <w:rPr>
                <w:rFonts w:ascii="宋体" w:hAnsi="宋体"/>
                <w:sz w:val="24"/>
              </w:rPr>
              <w:t>一、</w:t>
            </w:r>
            <w:r>
              <w:rPr>
                <w:rFonts w:hint="eastAsia" w:ascii="宋体" w:hAnsi="宋体"/>
                <w:sz w:val="24"/>
              </w:rPr>
              <w:t>商务</w:t>
            </w:r>
            <w:r>
              <w:rPr>
                <w:rFonts w:ascii="宋体" w:hAnsi="宋体"/>
                <w:sz w:val="24"/>
              </w:rPr>
              <w:t>部分（47分）</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价格分</w:t>
            </w:r>
          </w:p>
        </w:tc>
        <w:tc>
          <w:tcPr>
            <w:tcW w:w="5726" w:type="dxa"/>
            <w:tcBorders>
              <w:top w:val="nil"/>
              <w:left w:val="nil"/>
              <w:bottom w:val="single" w:color="auto" w:sz="4" w:space="0"/>
              <w:right w:val="single" w:color="auto" w:sz="4" w:space="0"/>
            </w:tcBorders>
            <w:shd w:val="clear" w:color="auto" w:fill="auto"/>
            <w:vAlign w:val="center"/>
          </w:tcPr>
          <w:p>
            <w:pPr>
              <w:pStyle w:val="32"/>
              <w:spacing w:line="320" w:lineRule="exact"/>
              <w:ind w:firstLine="240" w:firstLineChars="100"/>
              <w:contextualSpacing/>
              <w:jc w:val="left"/>
              <w:rPr>
                <w:rFonts w:ascii="宋体" w:hAnsi="宋体"/>
                <w:sz w:val="24"/>
              </w:rPr>
            </w:pPr>
            <w:r>
              <w:rPr>
                <w:rFonts w:hint="eastAsia" w:ascii="宋体" w:hAnsi="宋体"/>
                <w:sz w:val="24"/>
              </w:rPr>
              <w:t>本项目价格评分采用低价优先法计算，即满足谈判文件要求且响应价格最低的响应报价为评标基准价，其价格分为满分。</w:t>
            </w:r>
          </w:p>
          <w:p>
            <w:pPr>
              <w:pStyle w:val="32"/>
              <w:spacing w:line="320" w:lineRule="exact"/>
              <w:ind w:firstLine="240" w:firstLineChars="100"/>
              <w:contextualSpacing/>
              <w:jc w:val="left"/>
              <w:rPr>
                <w:rFonts w:ascii="宋体" w:hAnsi="宋体"/>
                <w:sz w:val="24"/>
              </w:rPr>
            </w:pPr>
            <w:r>
              <w:rPr>
                <w:rFonts w:hint="eastAsia" w:ascii="宋体" w:hAnsi="宋体"/>
                <w:sz w:val="24"/>
              </w:rPr>
              <w:t>其他供应商的价格分统一按照下列公式计算：供应商报价得分=(评标基准价／供应商响应报价)×30。评标过程中，不得去掉报价中的最高报价和最低报价。</w:t>
            </w:r>
          </w:p>
          <w:p>
            <w:pPr>
              <w:pStyle w:val="32"/>
              <w:spacing w:line="320" w:lineRule="exact"/>
              <w:ind w:firstLine="240" w:firstLineChars="100"/>
              <w:contextualSpacing/>
              <w:jc w:val="left"/>
              <w:rPr>
                <w:rFonts w:ascii="宋体" w:hAnsi="宋体"/>
                <w:sz w:val="24"/>
              </w:rPr>
            </w:pPr>
            <w:r>
              <w:rPr>
                <w:rFonts w:hint="eastAsia" w:ascii="宋体" w:hAnsi="宋体"/>
                <w:sz w:val="24"/>
              </w:rPr>
              <w:t>如评标委员会认为供应商的报价明显低于其他通过符合性审查投标供应商的报价，有可能影响服务质量或者不能诚信履约的，应当要求其在评标委员会规定的时间内提供书面说明，必要时提交相关证明材料。由评标委员会根据其书面材料作出判定，形成一致意见。若不能做出合理解释或拒绝提供成本证明材料的，视为无效响应。</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3</w:t>
            </w:r>
            <w:r>
              <w:rPr>
                <w:rFonts w:hint="eastAsia" w:ascii="宋体" w:hAnsi="宋体"/>
                <w:sz w:val="24"/>
              </w:rPr>
              <w:t>5</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2</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以往案例数量</w:t>
            </w:r>
          </w:p>
        </w:tc>
        <w:tc>
          <w:tcPr>
            <w:tcW w:w="5726" w:type="dxa"/>
            <w:tcBorders>
              <w:top w:val="nil"/>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供应商近三年内承担过类似会务服务业绩</w:t>
            </w:r>
            <w:r>
              <w:rPr>
                <w:rFonts w:ascii="宋体" w:hAnsi="宋体"/>
                <w:sz w:val="24"/>
              </w:rPr>
              <w:t>，</w:t>
            </w:r>
            <w:r>
              <w:rPr>
                <w:rFonts w:hint="eastAsia" w:ascii="宋体" w:hAnsi="宋体"/>
                <w:sz w:val="24"/>
              </w:rPr>
              <w:t>每</w:t>
            </w:r>
            <w:r>
              <w:rPr>
                <w:rFonts w:ascii="宋体" w:hAnsi="宋体"/>
                <w:sz w:val="24"/>
              </w:rPr>
              <w:t>提供1项</w:t>
            </w:r>
            <w:r>
              <w:rPr>
                <w:rFonts w:hint="eastAsia" w:ascii="宋体" w:hAnsi="宋体"/>
                <w:sz w:val="24"/>
              </w:rPr>
              <w:t>相关服务</w:t>
            </w:r>
            <w:r>
              <w:rPr>
                <w:rFonts w:ascii="宋体" w:hAnsi="宋体"/>
                <w:sz w:val="24"/>
              </w:rPr>
              <w:t>业绩</w:t>
            </w:r>
            <w:r>
              <w:rPr>
                <w:rFonts w:hint="eastAsia" w:ascii="宋体" w:hAnsi="宋体"/>
                <w:sz w:val="24"/>
              </w:rPr>
              <w:t>得</w:t>
            </w:r>
            <w:r>
              <w:rPr>
                <w:rFonts w:ascii="宋体" w:hAnsi="宋体"/>
                <w:sz w:val="24"/>
              </w:rPr>
              <w:t>3分，最多得12分。</w:t>
            </w:r>
          </w:p>
          <w:p>
            <w:pPr>
              <w:pStyle w:val="32"/>
              <w:spacing w:line="320" w:lineRule="exact"/>
              <w:contextualSpacing/>
              <w:jc w:val="left"/>
              <w:rPr>
                <w:rFonts w:ascii="宋体" w:hAnsi="宋体"/>
                <w:sz w:val="24"/>
              </w:rPr>
            </w:pPr>
            <w:r>
              <w:rPr>
                <w:rFonts w:ascii="宋体" w:hAnsi="宋体"/>
                <w:sz w:val="24"/>
              </w:rPr>
              <w:t>备注：</w:t>
            </w:r>
            <w:r>
              <w:rPr>
                <w:rFonts w:hint="eastAsia" w:ascii="宋体" w:hAnsi="宋体"/>
                <w:sz w:val="24"/>
              </w:rPr>
              <w:t>服务</w:t>
            </w:r>
            <w:r>
              <w:rPr>
                <w:rFonts w:ascii="宋体" w:hAnsi="宋体"/>
                <w:sz w:val="24"/>
              </w:rPr>
              <w:t>业绩须提供合同原件的扫描件</w:t>
            </w:r>
            <w:r>
              <w:rPr>
                <w:rFonts w:hint="eastAsia" w:ascii="宋体" w:hAnsi="宋体"/>
                <w:sz w:val="24"/>
              </w:rPr>
              <w:t>（</w:t>
            </w:r>
            <w:r>
              <w:rPr>
                <w:rFonts w:hint="eastAsia" w:ascii="宋体" w:hAnsi="宋体"/>
                <w:b/>
                <w:bCs/>
                <w:sz w:val="24"/>
              </w:rPr>
              <w:t>含合同协议双方的单位名称、合同协议项目名称、服务内容页、项目金额与含合同协议双方的落款印章、签订日期的关键页）扫描件，并加盖供应商公章）</w:t>
            </w:r>
            <w:r>
              <w:rPr>
                <w:rFonts w:ascii="宋体" w:hAnsi="宋体"/>
                <w:sz w:val="24"/>
              </w:rPr>
              <w:t>，</w:t>
            </w:r>
            <w:r>
              <w:rPr>
                <w:rFonts w:hint="eastAsia" w:ascii="宋体" w:hAnsi="宋体"/>
                <w:sz w:val="24"/>
              </w:rPr>
              <w:t>否则视为无效业绩。</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12</w:t>
            </w:r>
          </w:p>
        </w:tc>
      </w:tr>
      <w:tr>
        <w:trPr>
          <w:trHeight w:val="462" w:hRule="atLeast"/>
        </w:trPr>
        <w:tc>
          <w:tcPr>
            <w:tcW w:w="90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rPr>
                <w:rFonts w:ascii="宋体" w:hAnsi="宋体"/>
                <w:sz w:val="24"/>
              </w:rPr>
            </w:pPr>
            <w:r>
              <w:rPr>
                <w:rFonts w:ascii="宋体" w:hAnsi="宋体"/>
                <w:sz w:val="24"/>
              </w:rPr>
              <w:t>二、</w:t>
            </w:r>
            <w:r>
              <w:rPr>
                <w:rFonts w:hint="eastAsia" w:ascii="宋体" w:hAnsi="宋体"/>
                <w:sz w:val="24"/>
              </w:rPr>
              <w:t>技术部分（</w:t>
            </w:r>
            <w:r>
              <w:rPr>
                <w:rFonts w:ascii="宋体" w:hAnsi="宋体"/>
                <w:sz w:val="24"/>
              </w:rPr>
              <w:t>53</w:t>
            </w:r>
            <w:r>
              <w:rPr>
                <w:rFonts w:hint="eastAsia" w:ascii="宋体" w:hAnsi="宋体"/>
                <w:sz w:val="24"/>
              </w:rPr>
              <w:t>分）</w:t>
            </w:r>
          </w:p>
        </w:tc>
      </w:tr>
      <w:tr>
        <w:trPr>
          <w:trHeight w:val="1177"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bookmarkStart w:id="77" w:name="_Hlk73370807"/>
            <w:r>
              <w:rPr>
                <w:rFonts w:hint="eastAsia" w:ascii="宋体" w:hAnsi="宋体"/>
                <w:sz w:val="24"/>
              </w:rPr>
              <w:t>1</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整体服务方案</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整体服务方案详细、科学、合理、优于本项目服务需求得</w:t>
            </w:r>
            <w:r>
              <w:rPr>
                <w:rFonts w:ascii="宋体" w:hAnsi="宋体"/>
                <w:sz w:val="24"/>
              </w:rPr>
              <w:t>9.1-12.0</w:t>
            </w:r>
            <w:r>
              <w:rPr>
                <w:rFonts w:hint="eastAsia" w:ascii="宋体" w:hAnsi="宋体"/>
                <w:sz w:val="24"/>
              </w:rPr>
              <w:t>分；</w:t>
            </w:r>
          </w:p>
          <w:p>
            <w:pPr>
              <w:pStyle w:val="32"/>
              <w:spacing w:line="300" w:lineRule="exact"/>
              <w:rPr>
                <w:rFonts w:ascii="宋体" w:hAnsi="宋体"/>
                <w:sz w:val="24"/>
              </w:rPr>
            </w:pPr>
            <w:r>
              <w:rPr>
                <w:rFonts w:hint="eastAsia" w:ascii="宋体" w:hAnsi="宋体"/>
                <w:sz w:val="24"/>
              </w:rPr>
              <w:t>整体服务方案较好满足本项目服务需求得</w:t>
            </w:r>
            <w:r>
              <w:rPr>
                <w:rFonts w:ascii="宋体" w:hAnsi="宋体"/>
                <w:sz w:val="24"/>
              </w:rPr>
              <w:t>5</w:t>
            </w:r>
            <w:r>
              <w:rPr>
                <w:rFonts w:hint="eastAsia" w:ascii="宋体" w:hAnsi="宋体"/>
                <w:sz w:val="24"/>
              </w:rPr>
              <w:t>.1-</w:t>
            </w:r>
            <w:r>
              <w:rPr>
                <w:rFonts w:ascii="宋体" w:hAnsi="宋体"/>
                <w:sz w:val="24"/>
              </w:rPr>
              <w:t>9.0</w:t>
            </w:r>
            <w:r>
              <w:rPr>
                <w:rFonts w:hint="eastAsia" w:ascii="宋体" w:hAnsi="宋体"/>
                <w:sz w:val="24"/>
              </w:rPr>
              <w:t>分；</w:t>
            </w:r>
          </w:p>
          <w:p>
            <w:pPr>
              <w:spacing w:line="320" w:lineRule="exact"/>
              <w:contextualSpacing/>
            </w:pPr>
            <w:r>
              <w:rPr>
                <w:rFonts w:hint="eastAsia"/>
              </w:rPr>
              <w:t>整体服务方案基本满足本项目服务需求得</w:t>
            </w:r>
            <w:r>
              <w:t>0</w:t>
            </w:r>
            <w:r>
              <w:rPr>
                <w:rFonts w:hint="eastAsia"/>
              </w:rPr>
              <w:t>-</w:t>
            </w:r>
            <w:r>
              <w:t>5.0</w:t>
            </w:r>
            <w:r>
              <w:rPr>
                <w:rFonts w:hint="eastAsia"/>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12</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2</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服务组织机构与项目组人员配置情况</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cs="Times New Roman"/>
                <w:kern w:val="2"/>
              </w:rPr>
            </w:pPr>
            <w:r>
              <w:rPr>
                <w:rFonts w:hint="eastAsia" w:cs="Times New Roman"/>
                <w:kern w:val="2"/>
              </w:rPr>
              <w:t xml:space="preserve">1.各主要岗位服务人员配置专业齐全、数量合理且完全满足需要的，得 </w:t>
            </w:r>
            <w:r>
              <w:rPr>
                <w:rFonts w:cs="Times New Roman"/>
                <w:kern w:val="2"/>
              </w:rPr>
              <w:t>7.1－10.0</w:t>
            </w:r>
            <w:r>
              <w:rPr>
                <w:rFonts w:hint="eastAsia" w:cs="Times New Roman"/>
                <w:kern w:val="2"/>
              </w:rPr>
              <w:t xml:space="preserve">分； </w:t>
            </w:r>
          </w:p>
          <w:p>
            <w:pPr>
              <w:spacing w:line="360" w:lineRule="exact"/>
              <w:rPr>
                <w:rFonts w:cs="Times New Roman"/>
                <w:kern w:val="2"/>
              </w:rPr>
            </w:pPr>
            <w:r>
              <w:rPr>
                <w:rFonts w:hint="eastAsia" w:cs="Times New Roman"/>
                <w:kern w:val="2"/>
              </w:rPr>
              <w:t>2.各主要岗位服务人员配置专业齐全、数量合理且基本满足需要的，得</w:t>
            </w:r>
            <w:r>
              <w:t>4.1－7.0分</w:t>
            </w:r>
            <w:r>
              <w:rPr>
                <w:rFonts w:hint="eastAsia" w:cs="Times New Roman"/>
                <w:kern w:val="2"/>
              </w:rPr>
              <w:t xml:space="preserve">； </w:t>
            </w:r>
          </w:p>
          <w:p>
            <w:pPr>
              <w:pStyle w:val="32"/>
              <w:spacing w:line="300" w:lineRule="exact"/>
              <w:rPr>
                <w:rFonts w:hAnsi="宋体"/>
              </w:rPr>
            </w:pPr>
            <w:r>
              <w:rPr>
                <w:rFonts w:hint="eastAsia" w:ascii="宋体" w:hAnsi="宋体"/>
                <w:sz w:val="24"/>
              </w:rPr>
              <w:t>3.岗位服务人员配置不齐全、不合理的，得</w:t>
            </w:r>
            <w:r>
              <w:rPr>
                <w:rFonts w:ascii="宋体" w:hAnsi="宋体"/>
                <w:sz w:val="24"/>
              </w:rPr>
              <w:t>0－4.0</w:t>
            </w:r>
            <w:r>
              <w:rPr>
                <w:rFonts w:hint="eastAsia" w:ascii="宋体" w:hAnsi="宋体"/>
                <w:sz w:val="24"/>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3</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服务质量、进度、保密等保证措施</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服务质量、进度、保密等保证措施完善得</w:t>
            </w:r>
            <w:r>
              <w:rPr>
                <w:rFonts w:ascii="宋体" w:hAnsi="宋体"/>
                <w:sz w:val="24"/>
              </w:rPr>
              <w:t>7.1－10.0分</w:t>
            </w:r>
            <w:r>
              <w:rPr>
                <w:rFonts w:hint="eastAsia" w:ascii="宋体" w:hAnsi="宋体"/>
                <w:sz w:val="24"/>
              </w:rPr>
              <w:t>；</w:t>
            </w:r>
          </w:p>
          <w:p>
            <w:pPr>
              <w:pStyle w:val="32"/>
              <w:spacing w:line="300" w:lineRule="exact"/>
              <w:rPr>
                <w:rFonts w:ascii="宋体" w:hAnsi="宋体"/>
                <w:sz w:val="24"/>
              </w:rPr>
            </w:pPr>
            <w:r>
              <w:rPr>
                <w:rFonts w:hint="eastAsia" w:ascii="宋体" w:hAnsi="宋体"/>
                <w:sz w:val="24"/>
              </w:rPr>
              <w:t>服务质量、进度、保密等保证措施较好得</w:t>
            </w:r>
            <w:r>
              <w:rPr>
                <w:rFonts w:ascii="宋体" w:hAnsi="宋体"/>
                <w:sz w:val="24"/>
              </w:rPr>
              <w:t>4.1－7.0分</w:t>
            </w:r>
            <w:r>
              <w:rPr>
                <w:rFonts w:hint="eastAsia" w:ascii="宋体" w:hAnsi="宋体"/>
                <w:sz w:val="24"/>
              </w:rPr>
              <w:t>；</w:t>
            </w:r>
          </w:p>
          <w:p>
            <w:pPr>
              <w:pStyle w:val="32"/>
              <w:spacing w:line="300" w:lineRule="exact"/>
              <w:rPr>
                <w:rFonts w:ascii="宋体" w:hAnsi="宋体"/>
                <w:sz w:val="24"/>
              </w:rPr>
            </w:pPr>
            <w:r>
              <w:rPr>
                <w:rFonts w:hint="eastAsia" w:ascii="宋体" w:hAnsi="宋体"/>
                <w:sz w:val="24"/>
              </w:rPr>
              <w:t>服务质量、进度、保密等保证措施一般得</w:t>
            </w:r>
            <w:r>
              <w:rPr>
                <w:rFonts w:ascii="宋体" w:hAnsi="宋体"/>
                <w:sz w:val="24"/>
              </w:rPr>
              <w:t>0－4.0分</w:t>
            </w:r>
            <w:r>
              <w:rPr>
                <w:rFonts w:hint="eastAsia" w:ascii="宋体" w:hAnsi="宋体"/>
                <w:sz w:val="24"/>
              </w:rPr>
              <w:t>。</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1</w:t>
            </w:r>
            <w:r>
              <w:rPr>
                <w:rFonts w:ascii="宋体" w:hAnsi="宋体"/>
                <w:sz w:val="24"/>
              </w:rPr>
              <w:t>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4</w:t>
            </w:r>
          </w:p>
        </w:tc>
        <w:tc>
          <w:tcPr>
            <w:tcW w:w="190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Cs w:val="21"/>
              </w:rPr>
            </w:pPr>
            <w:r>
              <w:rPr>
                <w:rFonts w:hint="eastAsia"/>
                <w:szCs w:val="21"/>
              </w:rPr>
              <w:t>物料准备及现场</w:t>
            </w:r>
          </w:p>
          <w:p>
            <w:pPr>
              <w:spacing w:line="360" w:lineRule="exact"/>
              <w:jc w:val="center"/>
              <w:rPr>
                <w:szCs w:val="21"/>
              </w:rPr>
            </w:pPr>
            <w:r>
              <w:rPr>
                <w:rFonts w:hint="eastAsia"/>
                <w:szCs w:val="21"/>
              </w:rPr>
              <w:t>应急预案</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1.物料准备、保管等工作合理，现场应急预案中日常应急处置预案和措施 全面、合理、有效、可操作性强，得</w:t>
            </w:r>
            <w:r>
              <w:rPr>
                <w:szCs w:val="21"/>
              </w:rPr>
              <w:t>7.1－10.0</w:t>
            </w:r>
            <w:r>
              <w:rPr>
                <w:rFonts w:hint="eastAsia"/>
                <w:szCs w:val="21"/>
              </w:rPr>
              <w:t xml:space="preserve">分； </w:t>
            </w:r>
          </w:p>
          <w:p>
            <w:pPr>
              <w:spacing w:line="360" w:lineRule="exact"/>
              <w:rPr>
                <w:szCs w:val="21"/>
              </w:rPr>
            </w:pPr>
            <w:r>
              <w:rPr>
                <w:rFonts w:hint="eastAsia"/>
                <w:szCs w:val="21"/>
              </w:rPr>
              <w:t>2.物料准备、保管等基本合理，应急预案中日常应急处置预案和措施基本 全面、较为合理有效、有一定的可操作性，得</w:t>
            </w:r>
            <w:r>
              <w:rPr>
                <w:szCs w:val="21"/>
              </w:rPr>
              <w:t>4.1－7.0分</w:t>
            </w:r>
            <w:r>
              <w:rPr>
                <w:rFonts w:hint="eastAsia"/>
                <w:szCs w:val="21"/>
              </w:rPr>
              <w:t xml:space="preserve">； </w:t>
            </w:r>
          </w:p>
          <w:p>
            <w:pPr>
              <w:pStyle w:val="32"/>
              <w:spacing w:line="300" w:lineRule="exact"/>
              <w:jc w:val="left"/>
              <w:rPr>
                <w:rFonts w:ascii="宋体" w:hAnsi="宋体" w:cs="宋体"/>
                <w:kern w:val="0"/>
                <w:sz w:val="24"/>
                <w:szCs w:val="21"/>
              </w:rPr>
            </w:pPr>
            <w:r>
              <w:rPr>
                <w:rFonts w:hint="eastAsia" w:ascii="宋体" w:hAnsi="宋体" w:cs="宋体"/>
                <w:kern w:val="0"/>
                <w:sz w:val="24"/>
                <w:szCs w:val="21"/>
              </w:rPr>
              <w:t xml:space="preserve">3.物料准备、保管不合理，应急预案不合理的，得 </w:t>
            </w:r>
            <w:r>
              <w:rPr>
                <w:rFonts w:ascii="宋体" w:hAnsi="宋体" w:cs="宋体"/>
                <w:kern w:val="0"/>
                <w:sz w:val="24"/>
                <w:szCs w:val="21"/>
              </w:rPr>
              <w:t>0－4.0</w:t>
            </w:r>
            <w:r>
              <w:rPr>
                <w:rFonts w:hint="eastAsia" w:ascii="宋体" w:hAnsi="宋体" w:cs="宋体"/>
                <w:kern w:val="0"/>
                <w:sz w:val="24"/>
                <w:szCs w:val="21"/>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5</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服务承诺</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服务承诺全面、具体、针对性强得</w:t>
            </w:r>
            <w:r>
              <w:rPr>
                <w:szCs w:val="21"/>
              </w:rPr>
              <w:t>4.1-6.0分；</w:t>
            </w:r>
          </w:p>
          <w:p>
            <w:pPr>
              <w:spacing w:line="360" w:lineRule="exact"/>
              <w:rPr>
                <w:szCs w:val="21"/>
              </w:rPr>
            </w:pPr>
            <w:r>
              <w:rPr>
                <w:rFonts w:hint="eastAsia"/>
                <w:szCs w:val="21"/>
              </w:rPr>
              <w:t>服务承诺较完整，但针对性一般得</w:t>
            </w:r>
            <w:r>
              <w:rPr>
                <w:szCs w:val="21"/>
              </w:rPr>
              <w:t xml:space="preserve"> 2.1-4.0 分；</w:t>
            </w:r>
          </w:p>
          <w:p>
            <w:pPr>
              <w:spacing w:line="360" w:lineRule="exact"/>
              <w:rPr>
                <w:szCs w:val="21"/>
              </w:rPr>
            </w:pPr>
            <w:r>
              <w:rPr>
                <w:rFonts w:hint="eastAsia"/>
                <w:szCs w:val="21"/>
              </w:rPr>
              <w:t>服务承诺一般，没有针对性</w:t>
            </w:r>
            <w:r>
              <w:rPr>
                <w:szCs w:val="21"/>
              </w:rPr>
              <w:t xml:space="preserve"> </w:t>
            </w:r>
            <w:r>
              <w:rPr>
                <w:rFonts w:hint="eastAsia"/>
                <w:szCs w:val="21"/>
              </w:rPr>
              <w:t>得</w:t>
            </w:r>
            <w:r>
              <w:rPr>
                <w:szCs w:val="21"/>
              </w:rPr>
              <w:t>0-1.0 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6</w:t>
            </w:r>
          </w:p>
        </w:tc>
      </w:tr>
      <w:tr>
        <w:trPr>
          <w:trHeight w:val="1107"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6</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合理化建议</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合理化建议完全满足项目要求，技术思路、方法及步骤内容全面、有针对性得</w:t>
            </w:r>
            <w:r>
              <w:rPr>
                <w:szCs w:val="21"/>
              </w:rPr>
              <w:t>3.1-5.0分</w:t>
            </w:r>
          </w:p>
          <w:p>
            <w:pPr>
              <w:spacing w:line="360" w:lineRule="exact"/>
              <w:rPr>
                <w:szCs w:val="21"/>
              </w:rPr>
            </w:pPr>
            <w:r>
              <w:rPr>
                <w:rFonts w:hint="eastAsia"/>
                <w:szCs w:val="21"/>
              </w:rPr>
              <w:t>合理化建议较好，思路方法较好得</w:t>
            </w:r>
            <w:r>
              <w:rPr>
                <w:szCs w:val="21"/>
              </w:rPr>
              <w:t>1.1-3.0分</w:t>
            </w:r>
          </w:p>
          <w:p>
            <w:pPr>
              <w:spacing w:line="360" w:lineRule="exact"/>
              <w:rPr>
                <w:szCs w:val="21"/>
              </w:rPr>
            </w:pPr>
            <w:r>
              <w:rPr>
                <w:rFonts w:hint="eastAsia"/>
                <w:szCs w:val="21"/>
              </w:rPr>
              <w:t>合理化建议基本满足要求得</w:t>
            </w:r>
            <w:r>
              <w:rPr>
                <w:szCs w:val="21"/>
              </w:rPr>
              <w:t>0-1.0分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5</w:t>
            </w:r>
          </w:p>
        </w:tc>
      </w:tr>
      <w:bookmarkEnd w:id="77"/>
    </w:tbl>
    <w:p>
      <w:pPr>
        <w:pStyle w:val="2"/>
        <w:rPr>
          <w:rFonts w:hAnsi="宋体"/>
          <w:color w:val="auto"/>
        </w:rPr>
      </w:pPr>
    </w:p>
    <w:p>
      <w:pPr>
        <w:rPr>
          <w:rFonts w:cstheme="minorBidi"/>
          <w:b/>
          <w:kern w:val="2"/>
          <w:sz w:val="28"/>
          <w:szCs w:val="28"/>
        </w:rPr>
      </w:pPr>
      <w:bookmarkStart w:id="78" w:name="_Toc481863373"/>
      <w:bookmarkStart w:id="79" w:name="_Toc65610974"/>
      <w:bookmarkStart w:id="80" w:name="_Toc373841324"/>
      <w:bookmarkStart w:id="81" w:name="_Toc79067227"/>
      <w:r>
        <w:rPr>
          <w:b/>
          <w:sz w:val="28"/>
          <w:szCs w:val="28"/>
        </w:rPr>
        <w:br w:type="page"/>
      </w:r>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 xml:space="preserve">第四部分  </w:t>
      </w:r>
      <w:bookmarkEnd w:id="75"/>
      <w:bookmarkEnd w:id="76"/>
      <w:bookmarkEnd w:id="78"/>
      <w:bookmarkEnd w:id="79"/>
      <w:bookmarkEnd w:id="80"/>
      <w:r>
        <w:rPr>
          <w:rFonts w:hint="eastAsia" w:hAnsi="宋体" w:eastAsia="宋体"/>
          <w:b/>
          <w:sz w:val="28"/>
          <w:szCs w:val="28"/>
        </w:rPr>
        <w:t>合同协议</w:t>
      </w:r>
      <w:bookmarkEnd w:id="81"/>
    </w:p>
    <w:p>
      <w:pPr>
        <w:autoSpaceDE w:val="0"/>
        <w:autoSpaceDN w:val="0"/>
        <w:adjustRightInd w:val="0"/>
        <w:spacing w:line="520" w:lineRule="exact"/>
        <w:ind w:right="246" w:firstLine="471" w:firstLineChars="196"/>
        <w:rPr>
          <w:b/>
        </w:rPr>
      </w:pPr>
      <w:r>
        <w:rPr>
          <w:rFonts w:hint="eastAsia"/>
          <w:b/>
        </w:rPr>
        <w:t>一、成交通知书</w:t>
      </w:r>
    </w:p>
    <w:p>
      <w:pPr>
        <w:adjustRightInd w:val="0"/>
        <w:snapToGrid w:val="0"/>
        <w:spacing w:line="520" w:lineRule="exact"/>
        <w:ind w:firstLine="480" w:firstLineChars="200"/>
      </w:pPr>
      <w:r>
        <w:t xml:space="preserve">1 </w:t>
      </w:r>
      <w:r>
        <w:rPr>
          <w:rFonts w:hint="eastAsia"/>
        </w:rPr>
        <w:t>、成交供应商确定后，在响应有效期截止前，采购人向成交供应商发出成交通知书。并发布成交公告，或向所有未成交供应商发出成交结果通知书。成交供应商凭成交通知书与采购人签订合同协议。</w:t>
      </w:r>
      <w:r>
        <w:t xml:space="preserve"> </w:t>
      </w:r>
    </w:p>
    <w:p>
      <w:pPr>
        <w:adjustRightInd w:val="0"/>
        <w:snapToGrid w:val="0"/>
        <w:spacing w:line="520" w:lineRule="exact"/>
        <w:ind w:firstLine="480" w:firstLineChars="200"/>
      </w:pPr>
      <w:r>
        <w:t>2</w:t>
      </w:r>
      <w:r>
        <w:rPr>
          <w:rFonts w:hint="eastAsia"/>
        </w:rPr>
        <w:t>、成交通知书是合同协议的组成部分。</w:t>
      </w:r>
    </w:p>
    <w:p>
      <w:pPr>
        <w:autoSpaceDE w:val="0"/>
        <w:autoSpaceDN w:val="0"/>
        <w:adjustRightInd w:val="0"/>
        <w:spacing w:line="520" w:lineRule="exact"/>
        <w:ind w:right="246" w:firstLine="471" w:firstLineChars="196"/>
        <w:rPr>
          <w:b/>
        </w:rPr>
      </w:pPr>
      <w:r>
        <w:rPr>
          <w:rFonts w:hint="eastAsia"/>
          <w:b/>
        </w:rPr>
        <w:t>二、合同协议的签署</w:t>
      </w:r>
    </w:p>
    <w:p>
      <w:pPr>
        <w:adjustRightInd w:val="0"/>
        <w:snapToGrid w:val="0"/>
        <w:spacing w:line="520" w:lineRule="exact"/>
        <w:ind w:right="-91" w:rightChars="-38" w:firstLine="480" w:firstLineChars="200"/>
      </w:pPr>
      <w:r>
        <w:rPr>
          <w:rFonts w:hint="eastAsia"/>
        </w:rPr>
        <w:t>成交供应商的法定代表人或委托代理人前往与采购人代表签订合同协议。</w:t>
      </w:r>
    </w:p>
    <w:p>
      <w:pPr>
        <w:autoSpaceDE w:val="0"/>
        <w:autoSpaceDN w:val="0"/>
        <w:adjustRightInd w:val="0"/>
        <w:spacing w:before="3" w:line="540" w:lineRule="exact"/>
        <w:ind w:right="306"/>
        <w:jc w:val="center"/>
        <w:rPr>
          <w:sz w:val="36"/>
          <w:szCs w:val="36"/>
        </w:rPr>
      </w:pPr>
      <w:r>
        <w:rPr>
          <w:sz w:val="36"/>
          <w:szCs w:val="36"/>
        </w:rPr>
        <w:br w:type="page"/>
      </w:r>
    </w:p>
    <w:p>
      <w:pPr>
        <w:ind w:right="25" w:firstLine="280" w:firstLineChars="100"/>
        <w:jc w:val="center"/>
        <w:rPr>
          <w:b/>
          <w:sz w:val="28"/>
          <w:szCs w:val="28"/>
        </w:rPr>
      </w:pPr>
      <w:bookmarkStart w:id="82" w:name="_Hlt204141816"/>
      <w:bookmarkEnd w:id="82"/>
      <w:bookmarkStart w:id="83" w:name="_Toc185691731"/>
      <w:bookmarkEnd w:id="83"/>
      <w:bookmarkStart w:id="84" w:name="_Toc65610989"/>
      <w:bookmarkStart w:id="85" w:name="_Toc79067228"/>
      <w:bookmarkStart w:id="86" w:name="_Toc481863386"/>
      <w:bookmarkStart w:id="87" w:name="_Toc65610987"/>
      <w:r>
        <w:rPr>
          <w:rFonts w:hint="eastAsia"/>
          <w:b/>
          <w:sz w:val="28"/>
          <w:szCs w:val="28"/>
        </w:rPr>
        <w:t>中英人寿保险有限公司个人营销渠道2022年度高峰会项目标包</w:t>
      </w:r>
      <w:r>
        <w:rPr>
          <w:b/>
          <w:sz w:val="28"/>
          <w:szCs w:val="28"/>
        </w:rPr>
        <w:t>2</w:t>
      </w:r>
      <w:r>
        <w:rPr>
          <w:rFonts w:hint="eastAsia"/>
          <w:b/>
          <w:sz w:val="28"/>
          <w:szCs w:val="28"/>
        </w:rPr>
        <w:t>-会务服务服务合同</w:t>
      </w:r>
    </w:p>
    <w:p>
      <w:pPr>
        <w:tabs>
          <w:tab w:val="left" w:pos="2310"/>
        </w:tabs>
        <w:spacing w:line="240" w:lineRule="atLeast"/>
      </w:pPr>
    </w:p>
    <w:p>
      <w:pPr>
        <w:pStyle w:val="25"/>
        <w:tabs>
          <w:tab w:val="left" w:pos="2310"/>
        </w:tabs>
        <w:spacing w:line="360" w:lineRule="auto"/>
        <w:rPr>
          <w:rFonts w:hAnsi="宋体" w:eastAsia="宋体"/>
          <w:b/>
          <w:sz w:val="24"/>
          <w:szCs w:val="24"/>
        </w:rPr>
      </w:pPr>
      <w:r>
        <w:rPr>
          <w:rFonts w:hint="eastAsia" w:hAnsi="宋体" w:eastAsia="宋体"/>
          <w:b/>
          <w:sz w:val="24"/>
          <w:szCs w:val="24"/>
        </w:rPr>
        <w:t xml:space="preserve">甲方： </w:t>
      </w:r>
    </w:p>
    <w:p>
      <w:pPr>
        <w:pStyle w:val="25"/>
        <w:tabs>
          <w:tab w:val="left" w:pos="2310"/>
        </w:tabs>
        <w:spacing w:line="360" w:lineRule="auto"/>
        <w:rPr>
          <w:rFonts w:hAnsi="宋体" w:eastAsia="宋体"/>
          <w:sz w:val="24"/>
          <w:szCs w:val="24"/>
        </w:rPr>
      </w:pPr>
      <w:r>
        <w:rPr>
          <w:rFonts w:hint="eastAsia" w:hAnsi="宋体" w:eastAsia="宋体"/>
          <w:sz w:val="24"/>
          <w:szCs w:val="24"/>
        </w:rPr>
        <w:t>法定代表人（负责人）：__________</w:t>
      </w:r>
    </w:p>
    <w:p>
      <w:pPr>
        <w:pStyle w:val="25"/>
        <w:tabs>
          <w:tab w:val="left" w:pos="2310"/>
        </w:tabs>
        <w:spacing w:line="360" w:lineRule="auto"/>
        <w:rPr>
          <w:rFonts w:hAnsi="宋体" w:eastAsia="宋体"/>
          <w:sz w:val="24"/>
          <w:szCs w:val="24"/>
          <w:u w:val="single"/>
        </w:rPr>
      </w:pPr>
      <w:r>
        <w:rPr>
          <w:rFonts w:hint="eastAsia" w:hAnsi="宋体" w:eastAsia="宋体"/>
          <w:sz w:val="24"/>
          <w:szCs w:val="24"/>
        </w:rPr>
        <w:t>地址：__</w:t>
      </w:r>
      <w:r>
        <w:rPr>
          <w:rFonts w:hint="eastAsia" w:hAnsi="宋体" w:eastAsia="宋体"/>
          <w:sz w:val="24"/>
          <w:szCs w:val="24"/>
          <w:u w:val="single"/>
        </w:rPr>
        <w:t xml:space="preserve">_______________________ </w:t>
      </w:r>
    </w:p>
    <w:p>
      <w:pPr>
        <w:pStyle w:val="25"/>
        <w:tabs>
          <w:tab w:val="left" w:pos="2310"/>
        </w:tabs>
        <w:spacing w:line="360" w:lineRule="auto"/>
        <w:rPr>
          <w:rFonts w:hAnsi="宋体" w:eastAsia="宋体"/>
          <w:sz w:val="24"/>
          <w:szCs w:val="24"/>
        </w:rPr>
      </w:pPr>
      <w:r>
        <w:rPr>
          <w:rFonts w:hint="eastAsia" w:hAnsi="宋体" w:eastAsia="宋体"/>
          <w:sz w:val="24"/>
          <w:szCs w:val="24"/>
        </w:rPr>
        <w:t>邮码：</w:t>
      </w:r>
      <w:r>
        <w:rPr>
          <w:rFonts w:hint="eastAsia" w:hAnsi="宋体" w:eastAsia="宋体"/>
          <w:sz w:val="24"/>
          <w:szCs w:val="24"/>
          <w:u w:val="single"/>
        </w:rPr>
        <w:t>_</w:t>
      </w:r>
      <w:r>
        <w:rPr>
          <w:rFonts w:hint="eastAsia" w:hAnsi="宋体" w:eastAsia="宋体"/>
          <w:sz w:val="24"/>
          <w:szCs w:val="24"/>
        </w:rPr>
        <w:t>________________________</w:t>
      </w:r>
    </w:p>
    <w:p>
      <w:pPr>
        <w:pStyle w:val="25"/>
        <w:tabs>
          <w:tab w:val="left" w:pos="2310"/>
        </w:tabs>
        <w:spacing w:line="360" w:lineRule="auto"/>
        <w:rPr>
          <w:rFonts w:hAnsi="宋体" w:eastAsia="宋体"/>
          <w:sz w:val="24"/>
          <w:szCs w:val="24"/>
          <w:u w:val="single"/>
        </w:rPr>
      </w:pPr>
      <w:r>
        <w:rPr>
          <w:rFonts w:hint="eastAsia" w:hAnsi="宋体" w:eastAsia="宋体"/>
          <w:sz w:val="24"/>
          <w:szCs w:val="24"/>
        </w:rPr>
        <w:t>电话：</w:t>
      </w:r>
      <w:r>
        <w:rPr>
          <w:rFonts w:hint="eastAsia" w:hAnsi="宋体" w:eastAsia="宋体"/>
          <w:sz w:val="24"/>
          <w:szCs w:val="24"/>
          <w:u w:val="single"/>
        </w:rPr>
        <w:t>_________________________</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乙方：</w:t>
      </w:r>
    </w:p>
    <w:p>
      <w:pPr>
        <w:pStyle w:val="25"/>
        <w:tabs>
          <w:tab w:val="left" w:pos="2310"/>
        </w:tabs>
        <w:spacing w:line="360" w:lineRule="auto"/>
        <w:rPr>
          <w:rFonts w:hAnsi="宋体" w:eastAsia="宋体"/>
          <w:sz w:val="24"/>
          <w:szCs w:val="24"/>
          <w:u w:val="single"/>
        </w:rPr>
      </w:pPr>
      <w:r>
        <w:rPr>
          <w:rFonts w:hint="eastAsia" w:hAnsi="宋体" w:eastAsia="宋体"/>
          <w:sz w:val="24"/>
          <w:szCs w:val="24"/>
        </w:rPr>
        <w:t>法定代表人（负责人）：_</w:t>
      </w:r>
      <w:r>
        <w:rPr>
          <w:rFonts w:hint="eastAsia" w:hAnsi="宋体" w:eastAsia="宋体"/>
          <w:sz w:val="24"/>
          <w:szCs w:val="24"/>
          <w:u w:val="single"/>
        </w:rPr>
        <w:t xml:space="preserve">_________   </w:t>
      </w:r>
    </w:p>
    <w:p>
      <w:pPr>
        <w:pStyle w:val="25"/>
        <w:tabs>
          <w:tab w:val="left" w:pos="2310"/>
        </w:tabs>
        <w:spacing w:line="360" w:lineRule="auto"/>
        <w:rPr>
          <w:rFonts w:hAnsi="宋体" w:eastAsia="宋体"/>
          <w:sz w:val="24"/>
          <w:szCs w:val="24"/>
        </w:rPr>
      </w:pPr>
      <w:r>
        <w:rPr>
          <w:rFonts w:hint="eastAsia" w:hAnsi="宋体" w:eastAsia="宋体"/>
          <w:sz w:val="24"/>
          <w:szCs w:val="24"/>
        </w:rPr>
        <w:t>地址：_________________________</w:t>
      </w:r>
    </w:p>
    <w:p>
      <w:pPr>
        <w:pStyle w:val="25"/>
        <w:tabs>
          <w:tab w:val="left" w:pos="2310"/>
        </w:tabs>
        <w:spacing w:line="360" w:lineRule="auto"/>
        <w:rPr>
          <w:rFonts w:hAnsi="宋体" w:eastAsia="宋体"/>
          <w:sz w:val="24"/>
          <w:szCs w:val="24"/>
        </w:rPr>
      </w:pPr>
      <w:r>
        <w:rPr>
          <w:rFonts w:hint="eastAsia" w:hAnsi="宋体" w:eastAsia="宋体"/>
          <w:sz w:val="24"/>
          <w:szCs w:val="24"/>
        </w:rPr>
        <w:t>邮码：_________________________</w:t>
      </w:r>
    </w:p>
    <w:p>
      <w:pPr>
        <w:pStyle w:val="25"/>
        <w:tabs>
          <w:tab w:val="left" w:pos="2310"/>
        </w:tabs>
        <w:spacing w:line="360" w:lineRule="auto"/>
        <w:rPr>
          <w:rFonts w:hAnsi="宋体" w:eastAsia="宋体"/>
          <w:sz w:val="24"/>
          <w:szCs w:val="24"/>
        </w:rPr>
      </w:pPr>
      <w:r>
        <w:rPr>
          <w:rFonts w:hint="eastAsia" w:hAnsi="宋体" w:eastAsia="宋体"/>
          <w:sz w:val="24"/>
          <w:szCs w:val="24"/>
        </w:rPr>
        <w:t>电话：_________________________</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sz w:val="24"/>
          <w:szCs w:val="24"/>
        </w:rPr>
      </w:pPr>
      <w:r>
        <w:rPr>
          <w:rFonts w:hint="eastAsia" w:hAnsi="宋体" w:eastAsia="宋体"/>
          <w:sz w:val="24"/>
          <w:szCs w:val="24"/>
        </w:rPr>
        <w:t xml:space="preserve">    甲乙双方本着平等自愿的原则，经协商一致，就乙方为甲方提供长期会务服务的相关事项，签订合同如下：</w:t>
      </w:r>
    </w:p>
    <w:p>
      <w:pPr>
        <w:tabs>
          <w:tab w:val="left" w:pos="2310"/>
        </w:tabs>
        <w:spacing w:line="360" w:lineRule="auto"/>
      </w:pPr>
    </w:p>
    <w:p>
      <w:pPr>
        <w:tabs>
          <w:tab w:val="left" w:pos="2310"/>
        </w:tabs>
        <w:spacing w:line="360" w:lineRule="auto"/>
      </w:pPr>
      <w:r>
        <w:rPr>
          <w:rFonts w:hint="eastAsia"/>
          <w:b/>
        </w:rPr>
        <w:t>第一条 主体资格</w:t>
      </w:r>
    </w:p>
    <w:p>
      <w:pPr>
        <w:pStyle w:val="21"/>
        <w:tabs>
          <w:tab w:val="left" w:pos="2310"/>
        </w:tabs>
        <w:rPr>
          <w:rFonts w:hAnsi="宋体" w:eastAsia="宋体"/>
        </w:rPr>
      </w:pPr>
      <w:r>
        <w:rPr>
          <w:rFonts w:hint="eastAsia" w:hAnsi="宋体" w:eastAsia="宋体"/>
        </w:rPr>
        <w:t>乙方应具有国家认可的经营资格和专业人员，有能力完成甲方委托其办理的会议事务和组织旅游等事宜。</w:t>
      </w:r>
    </w:p>
    <w:p>
      <w:pPr>
        <w:pStyle w:val="21"/>
        <w:tabs>
          <w:tab w:val="left" w:pos="2310"/>
        </w:tabs>
        <w:rPr>
          <w:rFonts w:hAnsi="宋体" w:eastAsia="宋体"/>
        </w:rPr>
      </w:pPr>
    </w:p>
    <w:p>
      <w:pPr>
        <w:tabs>
          <w:tab w:val="left" w:pos="2310"/>
        </w:tabs>
        <w:spacing w:line="360" w:lineRule="auto"/>
        <w:rPr>
          <w:b/>
        </w:rPr>
      </w:pPr>
      <w:r>
        <w:rPr>
          <w:rFonts w:hint="eastAsia"/>
          <w:b/>
        </w:rPr>
        <w:t>第二条 会议概况</w:t>
      </w:r>
    </w:p>
    <w:p>
      <w:pPr>
        <w:pStyle w:val="35"/>
        <w:spacing w:before="0" w:beforeAutospacing="0" w:after="240" w:afterAutospacing="0" w:line="360" w:lineRule="auto"/>
        <w:ind w:firstLine="360" w:firstLineChars="150"/>
        <w:rPr>
          <w:kern w:val="2"/>
        </w:rPr>
      </w:pPr>
      <w:r>
        <w:rPr>
          <w:rFonts w:hint="eastAsia"/>
          <w:kern w:val="2"/>
        </w:rPr>
        <w:t xml:space="preserve">会议名称: </w:t>
      </w:r>
    </w:p>
    <w:p>
      <w:pPr>
        <w:pStyle w:val="35"/>
        <w:spacing w:before="0" w:beforeAutospacing="0" w:after="240" w:afterAutospacing="0" w:line="360" w:lineRule="auto"/>
        <w:ind w:firstLine="360" w:firstLineChars="150"/>
        <w:rPr>
          <w:kern w:val="2"/>
        </w:rPr>
      </w:pPr>
      <w:r>
        <w:rPr>
          <w:rFonts w:hint="eastAsia"/>
          <w:kern w:val="2"/>
        </w:rPr>
        <w:t xml:space="preserve">会议日期： </w:t>
      </w:r>
    </w:p>
    <w:p>
      <w:pPr>
        <w:pStyle w:val="35"/>
        <w:spacing w:before="0" w:beforeAutospacing="0" w:after="240" w:afterAutospacing="0" w:line="360" w:lineRule="auto"/>
        <w:ind w:firstLine="360" w:firstLineChars="150"/>
        <w:rPr>
          <w:kern w:val="2"/>
        </w:rPr>
      </w:pPr>
      <w:r>
        <w:rPr>
          <w:rFonts w:hint="eastAsia"/>
          <w:kern w:val="2"/>
        </w:rPr>
        <w:t>会议地点：</w:t>
      </w:r>
    </w:p>
    <w:p>
      <w:pPr>
        <w:pStyle w:val="35"/>
        <w:spacing w:before="0" w:beforeAutospacing="0" w:after="240" w:afterAutospacing="0" w:line="360" w:lineRule="auto"/>
        <w:ind w:firstLine="360" w:firstLineChars="150"/>
        <w:rPr>
          <w:kern w:val="2"/>
        </w:rPr>
      </w:pPr>
      <w:r>
        <w:rPr>
          <w:rFonts w:hint="eastAsia"/>
          <w:kern w:val="2"/>
        </w:rPr>
        <w:t xml:space="preserve">会议人数：  </w:t>
      </w:r>
    </w:p>
    <w:p>
      <w:pPr>
        <w:pStyle w:val="35"/>
        <w:spacing w:before="0" w:beforeAutospacing="0" w:after="240" w:afterAutospacing="0" w:line="360" w:lineRule="auto"/>
        <w:ind w:firstLine="480" w:firstLineChars="200"/>
        <w:rPr>
          <w:kern w:val="2"/>
        </w:rPr>
      </w:pPr>
      <w:r>
        <w:rPr>
          <w:rFonts w:hint="eastAsia"/>
          <w:kern w:val="2"/>
        </w:rPr>
        <w:t>其他：</w:t>
      </w:r>
    </w:p>
    <w:p>
      <w:pPr>
        <w:pStyle w:val="25"/>
        <w:spacing w:line="360" w:lineRule="auto"/>
        <w:rPr>
          <w:rFonts w:hAnsi="宋体" w:eastAsia="宋体"/>
          <w:sz w:val="24"/>
          <w:szCs w:val="24"/>
        </w:rPr>
      </w:pPr>
      <w:r>
        <w:rPr>
          <w:rFonts w:hint="eastAsia" w:hAnsi="宋体" w:eastAsia="宋体"/>
          <w:sz w:val="24"/>
          <w:szCs w:val="24"/>
        </w:rPr>
        <w:t xml:space="preserve"> </w:t>
      </w:r>
      <w:r>
        <w:rPr>
          <w:rFonts w:hint="eastAsia" w:hAnsi="宋体" w:eastAsia="宋体"/>
          <w:sz w:val="24"/>
          <w:szCs w:val="24"/>
        </w:rPr>
        <w:tab/>
      </w:r>
      <w:r>
        <w:rPr>
          <w:rFonts w:hint="eastAsia" w:hAnsi="宋体" w:eastAsia="宋体"/>
          <w:sz w:val="24"/>
          <w:szCs w:val="24"/>
        </w:rPr>
        <w:t>乙方应根据甲方的会议要求，就该次会议具体的执行细节、费用细目制作《会议方案》。该会议方案经双方授权代表签字盖章确认后作为合同附件。</w:t>
      </w:r>
    </w:p>
    <w:p>
      <w:pPr>
        <w:pStyle w:val="25"/>
        <w:tabs>
          <w:tab w:val="left" w:pos="0"/>
        </w:tabs>
        <w:spacing w:line="360" w:lineRule="auto"/>
        <w:rPr>
          <w:rFonts w:hAnsi="宋体" w:eastAsia="宋体"/>
          <w:sz w:val="24"/>
          <w:szCs w:val="24"/>
        </w:rPr>
      </w:pPr>
    </w:p>
    <w:p>
      <w:pPr>
        <w:pStyle w:val="22"/>
        <w:tabs>
          <w:tab w:val="left" w:pos="2310"/>
        </w:tabs>
        <w:ind w:left="821"/>
        <w:rPr>
          <w:rFonts w:ascii="宋体" w:hAnsi="宋体" w:eastAsia="宋体"/>
          <w:b/>
        </w:rPr>
      </w:pPr>
      <w:r>
        <w:rPr>
          <w:rFonts w:hint="eastAsia" w:ascii="宋体" w:hAnsi="宋体" w:eastAsia="宋体"/>
          <w:b/>
        </w:rPr>
        <w:t>第三条 服务内容</w:t>
      </w:r>
    </w:p>
    <w:p>
      <w:pPr>
        <w:pStyle w:val="22"/>
        <w:tabs>
          <w:tab w:val="left" w:pos="2310"/>
        </w:tabs>
        <w:ind w:left="821"/>
        <w:rPr>
          <w:rFonts w:ascii="宋体" w:hAnsi="宋体" w:eastAsia="宋体"/>
        </w:rPr>
      </w:pPr>
      <w:r>
        <w:rPr>
          <w:rFonts w:hint="eastAsia" w:ascii="宋体" w:hAnsi="宋体" w:eastAsia="宋体"/>
        </w:rPr>
        <w:t>具体的服务内容及要求规定在双方最终确认的附件会议策划书及服务价目表中。</w:t>
      </w:r>
    </w:p>
    <w:p>
      <w:pPr>
        <w:pStyle w:val="22"/>
        <w:tabs>
          <w:tab w:val="left" w:pos="2310"/>
        </w:tabs>
        <w:ind w:left="821"/>
        <w:rPr>
          <w:rFonts w:ascii="宋体" w:hAnsi="宋体" w:eastAsia="宋体"/>
          <w:b/>
        </w:rPr>
      </w:pPr>
    </w:p>
    <w:p>
      <w:pPr>
        <w:pStyle w:val="22"/>
        <w:tabs>
          <w:tab w:val="left" w:pos="2310"/>
        </w:tabs>
        <w:ind w:left="821"/>
        <w:rPr>
          <w:rFonts w:ascii="宋体" w:hAnsi="宋体" w:eastAsia="宋体"/>
          <w:b/>
        </w:rPr>
      </w:pPr>
      <w:r>
        <w:rPr>
          <w:rFonts w:hint="eastAsia" w:ascii="宋体" w:hAnsi="宋体" w:eastAsia="宋体"/>
          <w:b/>
        </w:rPr>
        <w:t>第四条 费用</w:t>
      </w:r>
    </w:p>
    <w:p>
      <w:pPr>
        <w:pStyle w:val="22"/>
        <w:tabs>
          <w:tab w:val="left" w:pos="2310"/>
        </w:tabs>
        <w:ind w:left="821"/>
        <w:rPr>
          <w:rFonts w:ascii="宋体" w:hAnsi="宋体" w:eastAsia="宋体"/>
        </w:rPr>
      </w:pPr>
      <w:r>
        <w:rPr>
          <w:rFonts w:hint="eastAsia" w:ascii="宋体" w:hAnsi="宋体" w:eastAsia="宋体"/>
        </w:rPr>
        <w:t xml:space="preserve">    乙方应当根据甲方的委托事项，结合会议议程，制订费用细目（具体规定在会议方案书中），乙方应按预算执行，并保证服务内容和质量。</w:t>
      </w:r>
    </w:p>
    <w:p>
      <w:pPr>
        <w:pStyle w:val="22"/>
        <w:tabs>
          <w:tab w:val="left" w:pos="2310"/>
        </w:tabs>
        <w:ind w:left="821"/>
        <w:rPr>
          <w:rFonts w:ascii="宋体" w:hAnsi="宋体" w:eastAsia="宋体"/>
        </w:rPr>
      </w:pPr>
    </w:p>
    <w:p>
      <w:pPr>
        <w:pStyle w:val="22"/>
        <w:tabs>
          <w:tab w:val="left" w:pos="2310"/>
        </w:tabs>
        <w:ind w:left="821"/>
        <w:rPr>
          <w:rFonts w:ascii="宋体" w:hAnsi="宋体" w:eastAsia="宋体"/>
          <w:b/>
        </w:rPr>
      </w:pPr>
      <w:r>
        <w:rPr>
          <w:rFonts w:hint="eastAsia" w:ascii="宋体" w:hAnsi="宋体" w:eastAsia="宋体"/>
          <w:b/>
        </w:rPr>
        <w:t>第五条 结算方式</w:t>
      </w:r>
    </w:p>
    <w:p>
      <w:pPr>
        <w:widowControl w:val="0"/>
        <w:numPr>
          <w:ilvl w:val="0"/>
          <w:numId w:val="13"/>
        </w:numPr>
        <w:tabs>
          <w:tab w:val="left" w:pos="2310"/>
        </w:tabs>
        <w:spacing w:line="360" w:lineRule="auto"/>
        <w:jc w:val="both"/>
      </w:pPr>
      <w:r>
        <w:rPr>
          <w:rFonts w:hint="eastAsia"/>
        </w:rPr>
        <w:t>所有费用以最后发生的实际情况在甲方原已批准的预算范围内结算，除非甲方事先书面同意，所有费用和/或总费用不得超过采购订单或会议方案书中的预算。</w:t>
      </w:r>
    </w:p>
    <w:p>
      <w:pPr>
        <w:pStyle w:val="35"/>
        <w:numPr>
          <w:ilvl w:val="0"/>
          <w:numId w:val="13"/>
        </w:numPr>
        <w:spacing w:before="0" w:beforeAutospacing="0" w:line="360" w:lineRule="auto"/>
        <w:rPr>
          <w:kern w:val="2"/>
        </w:rPr>
      </w:pPr>
      <w:r>
        <w:rPr>
          <w:rFonts w:hint="eastAsia"/>
          <w:kern w:val="2"/>
        </w:rPr>
        <w:t>合同签署后_日内，甲方以___方式支付服务费用的___%即_____元，大写人民币______元，会议结束后，如甲乙双方对合同约定义务的履行无异议，甲乙双方在___日内对实际发生的费用进行结算，双方确认无误后_日内乙方向甲方提供合法等额发票，甲方于收到发票后_日内以______方式支付服务费用的余额。</w:t>
      </w:r>
    </w:p>
    <w:p>
      <w:pPr>
        <w:pStyle w:val="35"/>
        <w:spacing w:before="0" w:beforeAutospacing="0" w:line="360" w:lineRule="auto"/>
        <w:ind w:left="360"/>
        <w:rPr>
          <w:kern w:val="2"/>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第六条 甲方的权利和义务</w:t>
      </w:r>
    </w:p>
    <w:p>
      <w:pPr>
        <w:pStyle w:val="25"/>
        <w:numPr>
          <w:ilvl w:val="0"/>
          <w:numId w:val="14"/>
        </w:numPr>
        <w:tabs>
          <w:tab w:val="left" w:pos="2310"/>
        </w:tabs>
        <w:spacing w:line="360" w:lineRule="auto"/>
        <w:rPr>
          <w:rFonts w:hAnsi="宋体" w:eastAsia="宋体"/>
          <w:sz w:val="24"/>
          <w:szCs w:val="24"/>
        </w:rPr>
      </w:pPr>
      <w:r>
        <w:rPr>
          <w:rFonts w:hint="eastAsia" w:hAnsi="宋体" w:eastAsia="宋体"/>
          <w:sz w:val="24"/>
          <w:szCs w:val="24"/>
        </w:rPr>
        <w:t>甲方享有知悉乙方服务的真实情况的权利。甲方有权要求乙方提供乙方服务价格及服务标准等有关情况。</w:t>
      </w:r>
    </w:p>
    <w:p>
      <w:pPr>
        <w:pStyle w:val="25"/>
        <w:numPr>
          <w:ilvl w:val="0"/>
          <w:numId w:val="14"/>
        </w:numPr>
        <w:tabs>
          <w:tab w:val="left" w:pos="2310"/>
        </w:tabs>
        <w:spacing w:line="360" w:lineRule="auto"/>
        <w:rPr>
          <w:rFonts w:hAnsi="宋体" w:eastAsia="宋体"/>
          <w:sz w:val="24"/>
          <w:szCs w:val="24"/>
        </w:rPr>
      </w:pPr>
      <w:r>
        <w:rPr>
          <w:rFonts w:hint="eastAsia" w:hAnsi="宋体" w:eastAsia="宋体"/>
          <w:sz w:val="24"/>
          <w:szCs w:val="24"/>
        </w:rPr>
        <w:t>甲方有权经合理通知时间（_个工作日）对乙方提供服务的真实性等予以核查，包括但不限于在乙方场所查阅与服务有关的文件、记录、票证等资料，乙方需予以充分的和完全的配合。</w:t>
      </w:r>
    </w:p>
    <w:p>
      <w:pPr>
        <w:pStyle w:val="25"/>
        <w:numPr>
          <w:ilvl w:val="0"/>
          <w:numId w:val="14"/>
        </w:numPr>
        <w:tabs>
          <w:tab w:val="left" w:pos="2310"/>
        </w:tabs>
        <w:spacing w:line="360" w:lineRule="auto"/>
        <w:rPr>
          <w:rFonts w:hAnsi="宋体" w:eastAsia="宋体"/>
          <w:sz w:val="24"/>
          <w:szCs w:val="24"/>
        </w:rPr>
      </w:pPr>
      <w:r>
        <w:rPr>
          <w:rFonts w:hint="eastAsia" w:hAnsi="宋体" w:eastAsia="宋体"/>
          <w:sz w:val="24"/>
          <w:szCs w:val="24"/>
        </w:rPr>
        <w:t>甲方享有人身、财物不受损害的权利。甲方有权要求乙方提供符合保障人身、财产安全要求的服务。</w:t>
      </w:r>
    </w:p>
    <w:p>
      <w:pPr>
        <w:pStyle w:val="25"/>
        <w:numPr>
          <w:ilvl w:val="0"/>
          <w:numId w:val="14"/>
        </w:numPr>
        <w:tabs>
          <w:tab w:val="left" w:pos="2310"/>
        </w:tabs>
        <w:spacing w:line="360" w:lineRule="auto"/>
        <w:rPr>
          <w:rFonts w:hAnsi="宋体" w:eastAsia="宋体"/>
          <w:sz w:val="24"/>
          <w:szCs w:val="24"/>
        </w:rPr>
      </w:pPr>
      <w:r>
        <w:rPr>
          <w:rFonts w:hint="eastAsia" w:hAnsi="宋体" w:eastAsia="宋体"/>
          <w:sz w:val="24"/>
          <w:szCs w:val="24"/>
        </w:rPr>
        <w:t>甲方享有要求乙方提供约定服务的权利。甲方有权要求乙方按照合同及附件约定的时间安排会议提供会议服务。</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第七条 乙方的权利和义务</w:t>
      </w:r>
    </w:p>
    <w:p>
      <w:pPr>
        <w:pStyle w:val="25"/>
        <w:numPr>
          <w:ilvl w:val="0"/>
          <w:numId w:val="15"/>
        </w:numPr>
        <w:tabs>
          <w:tab w:val="left" w:pos="2310"/>
        </w:tabs>
        <w:spacing w:line="360" w:lineRule="auto"/>
        <w:rPr>
          <w:rFonts w:hAnsi="宋体" w:eastAsia="宋体"/>
          <w:sz w:val="24"/>
          <w:szCs w:val="24"/>
          <w:lang w:val="en-GB"/>
        </w:rPr>
      </w:pPr>
      <w:r>
        <w:rPr>
          <w:rFonts w:hint="eastAsia" w:hAnsi="宋体" w:eastAsia="宋体"/>
          <w:sz w:val="24"/>
          <w:szCs w:val="24"/>
          <w:lang w:val="en-GB"/>
        </w:rPr>
        <w:t>乙方所提供和安排的会议服务提供应符合国家标准和行业标准的规定；</w:t>
      </w:r>
    </w:p>
    <w:p>
      <w:pPr>
        <w:pStyle w:val="25"/>
        <w:numPr>
          <w:ilvl w:val="0"/>
          <w:numId w:val="15"/>
        </w:numPr>
        <w:tabs>
          <w:tab w:val="left" w:pos="2310"/>
        </w:tabs>
        <w:spacing w:line="360" w:lineRule="auto"/>
        <w:rPr>
          <w:rFonts w:hAnsi="宋体" w:eastAsia="宋体"/>
          <w:sz w:val="24"/>
          <w:szCs w:val="24"/>
        </w:rPr>
      </w:pPr>
      <w:r>
        <w:rPr>
          <w:rFonts w:hint="eastAsia" w:hAnsi="宋体" w:eastAsia="宋体"/>
          <w:sz w:val="24"/>
          <w:szCs w:val="24"/>
        </w:rPr>
        <w:t>乙方应当在会议开始之前，向甲方书面通告会议安排的准备情况，并就可能发生的变动及时通知甲方；若此种变动造成增加费用或甲方损失的，应由乙方负责支付或赔偿；</w:t>
      </w:r>
    </w:p>
    <w:p>
      <w:pPr>
        <w:pStyle w:val="35"/>
        <w:numPr>
          <w:ilvl w:val="0"/>
          <w:numId w:val="15"/>
        </w:numPr>
        <w:spacing w:before="0" w:beforeAutospacing="0" w:line="360" w:lineRule="auto"/>
      </w:pPr>
      <w:r>
        <w:rPr>
          <w:rFonts w:hint="eastAsia"/>
        </w:rPr>
        <w:t>乙方提供的服务应符合保障甲方或甲方人员人身、财产安全的要求。在合同履行过程中，因乙方原因导致甲方或甲方人员人身、财产损害的，乙方应承担赔偿责任；</w:t>
      </w:r>
    </w:p>
    <w:p>
      <w:pPr>
        <w:pStyle w:val="25"/>
        <w:numPr>
          <w:ilvl w:val="0"/>
          <w:numId w:val="15"/>
        </w:numPr>
        <w:tabs>
          <w:tab w:val="left" w:pos="2310"/>
        </w:tabs>
        <w:spacing w:line="360" w:lineRule="auto"/>
        <w:rPr>
          <w:rFonts w:hAnsi="宋体" w:eastAsia="宋体"/>
          <w:sz w:val="24"/>
          <w:szCs w:val="24"/>
        </w:rPr>
      </w:pPr>
      <w:r>
        <w:rPr>
          <w:rFonts w:hint="eastAsia" w:hAnsi="宋体" w:eastAsia="宋体"/>
          <w:sz w:val="24"/>
          <w:szCs w:val="24"/>
        </w:rPr>
        <w:t>非因乙方原因，导致甲方与会人员在会议期间受到人身伤害和财产损失的，乙方应协助甲方向提供上述服务的经营者索赔并承担连带赔偿责任；</w:t>
      </w:r>
    </w:p>
    <w:p>
      <w:pPr>
        <w:pStyle w:val="25"/>
        <w:numPr>
          <w:ilvl w:val="0"/>
          <w:numId w:val="15"/>
        </w:numPr>
        <w:tabs>
          <w:tab w:val="left" w:pos="2310"/>
        </w:tabs>
        <w:spacing w:line="360" w:lineRule="auto"/>
        <w:rPr>
          <w:rFonts w:hAnsi="宋体" w:eastAsia="宋体"/>
          <w:sz w:val="24"/>
          <w:szCs w:val="24"/>
        </w:rPr>
      </w:pPr>
      <w:r>
        <w:rPr>
          <w:rFonts w:hint="eastAsia" w:hAnsi="宋体" w:eastAsia="宋体"/>
          <w:sz w:val="24"/>
          <w:szCs w:val="24"/>
        </w:rPr>
        <w:t>本合同有效期内及本合同终止之后，乙方及其工作人员均应对因签订履行本合同而知悉的甲方或甲方人员的信息或资料保密，未经甲方许可，不得向任何第三方透露。乙方所承担的保密义务，不因最终未签订本合同或本合同履行完毕或本合同终止而解除。乙方违反保密义务的，应当承担由此给甲方造成的损失。</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第八条 双方的义务</w:t>
      </w:r>
    </w:p>
    <w:p>
      <w:pPr>
        <w:spacing w:before="50" w:line="360" w:lineRule="auto"/>
        <w:ind w:firstLine="360" w:firstLineChars="150"/>
        <w:rPr>
          <w:rFonts w:cs="Courier New"/>
        </w:rPr>
      </w:pPr>
      <w:r>
        <w:rPr>
          <w:rFonts w:hint="eastAsia" w:cs="Courier New"/>
        </w:rPr>
        <w:t>甲乙双方应严格遵守有关反贪污反贿赂的法律法规和甲方有关反贪污反贿赂的政策、规章、制度，禁止在本合同履行过程及有关业务往来中进行贪污、行贿、受贿等违法行为。</w:t>
      </w:r>
    </w:p>
    <w:p>
      <w:pPr>
        <w:pStyle w:val="25"/>
        <w:tabs>
          <w:tab w:val="left" w:pos="2310"/>
        </w:tabs>
        <w:spacing w:line="360" w:lineRule="auto"/>
        <w:rPr>
          <w:rFonts w:hAnsi="宋体" w:eastAsia="宋体"/>
          <w:b/>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第九条 会议的取消及违约责任</w:t>
      </w:r>
    </w:p>
    <w:p>
      <w:pPr>
        <w:pStyle w:val="25"/>
        <w:tabs>
          <w:tab w:val="left" w:pos="2310"/>
        </w:tabs>
        <w:spacing w:line="360" w:lineRule="auto"/>
        <w:rPr>
          <w:rFonts w:hAnsi="宋体" w:eastAsia="宋体"/>
          <w:sz w:val="24"/>
          <w:szCs w:val="24"/>
        </w:rPr>
      </w:pPr>
      <w:r>
        <w:rPr>
          <w:rFonts w:hint="eastAsia" w:hAnsi="宋体" w:eastAsia="宋体"/>
          <w:sz w:val="24"/>
          <w:szCs w:val="24"/>
        </w:rPr>
        <w:t>合同履行过程中，如果有下列情况的，甲乙双方分别按下列规定承担违约责任：</w:t>
      </w:r>
    </w:p>
    <w:p>
      <w:pPr>
        <w:pStyle w:val="25"/>
        <w:tabs>
          <w:tab w:val="left" w:pos="2310"/>
        </w:tabs>
        <w:spacing w:line="360" w:lineRule="auto"/>
        <w:ind w:firstLine="480" w:firstLineChars="200"/>
        <w:rPr>
          <w:rFonts w:hAnsi="宋体" w:eastAsia="宋体"/>
          <w:sz w:val="24"/>
          <w:szCs w:val="24"/>
        </w:rPr>
      </w:pPr>
      <w:r>
        <w:rPr>
          <w:rFonts w:hint="eastAsia" w:hAnsi="宋体" w:eastAsia="宋体"/>
          <w:sz w:val="24"/>
          <w:szCs w:val="24"/>
        </w:rPr>
        <w:t>1.乙方的</w:t>
      </w:r>
      <w:r>
        <w:rPr>
          <w:rFonts w:hint="eastAsia" w:hAnsi="宋体" w:eastAsia="宋体"/>
          <w:sz w:val="24"/>
          <w:szCs w:val="24"/>
          <w:lang w:val="en-GB"/>
        </w:rPr>
        <w:t>违约责任</w:t>
      </w:r>
    </w:p>
    <w:p>
      <w:pPr>
        <w:pStyle w:val="25"/>
        <w:numPr>
          <w:ilvl w:val="0"/>
          <w:numId w:val="16"/>
        </w:numPr>
        <w:tabs>
          <w:tab w:val="left" w:pos="945"/>
          <w:tab w:val="clear" w:pos="1560"/>
        </w:tabs>
        <w:spacing w:line="360" w:lineRule="auto"/>
        <w:ind w:left="945" w:firstLine="0"/>
        <w:rPr>
          <w:rFonts w:hAnsi="宋体" w:eastAsia="宋体"/>
          <w:sz w:val="24"/>
          <w:szCs w:val="24"/>
          <w:lang w:val="en-GB"/>
        </w:rPr>
      </w:pPr>
      <w:r>
        <w:rPr>
          <w:rFonts w:hint="eastAsia" w:hAnsi="宋体" w:eastAsia="宋体"/>
          <w:sz w:val="24"/>
          <w:szCs w:val="24"/>
          <w:lang w:val="en-GB"/>
        </w:rPr>
        <w:t>因乙方原因造成会议不能按期举行，乙方除需在通知甲方之日起_日内全额退还甲方支付款项外，还需承担以下违约责任：</w:t>
      </w:r>
    </w:p>
    <w:p>
      <w:pPr>
        <w:pStyle w:val="25"/>
        <w:numPr>
          <w:ilvl w:val="0"/>
          <w:numId w:val="17"/>
        </w:numPr>
        <w:tabs>
          <w:tab w:val="left" w:pos="1470"/>
          <w:tab w:val="clear" w:pos="360"/>
        </w:tabs>
        <w:spacing w:line="360" w:lineRule="auto"/>
        <w:ind w:left="1470" w:firstLine="0"/>
        <w:rPr>
          <w:rFonts w:hAnsi="宋体" w:eastAsia="宋体"/>
          <w:sz w:val="24"/>
          <w:szCs w:val="24"/>
          <w:lang w:val="en-GB"/>
        </w:rPr>
      </w:pPr>
      <w:r>
        <w:rPr>
          <w:rFonts w:hint="eastAsia" w:hAnsi="宋体" w:eastAsia="宋体"/>
          <w:sz w:val="24"/>
          <w:szCs w:val="24"/>
          <w:lang w:val="en-GB"/>
        </w:rPr>
        <w:t>乙方在约定的会议开始之日前提前_日以上（含_日）通知甲方的，乙方应在通知甲方之日起_日内向甲方支付该次会议总价___%的违约金；</w:t>
      </w:r>
    </w:p>
    <w:p>
      <w:pPr>
        <w:pStyle w:val="25"/>
        <w:numPr>
          <w:ilvl w:val="0"/>
          <w:numId w:val="17"/>
        </w:numPr>
        <w:tabs>
          <w:tab w:val="left" w:pos="1470"/>
          <w:tab w:val="clear" w:pos="360"/>
        </w:tabs>
        <w:spacing w:line="360" w:lineRule="auto"/>
        <w:ind w:left="1470" w:firstLine="0"/>
        <w:rPr>
          <w:rFonts w:hAnsi="宋体" w:eastAsia="宋体"/>
          <w:sz w:val="24"/>
          <w:szCs w:val="24"/>
          <w:lang w:val="en-GB"/>
        </w:rPr>
      </w:pPr>
      <w:r>
        <w:rPr>
          <w:rFonts w:hint="eastAsia" w:hAnsi="宋体" w:eastAsia="宋体"/>
          <w:sz w:val="24"/>
          <w:szCs w:val="24"/>
          <w:lang w:val="en-GB"/>
        </w:rPr>
        <w:t>乙方在约定的会议开始日前的_日之内通知的甲方的，乙方应通知甲方之日起7日内向甲方支付该次会议总价___%的违约金。</w:t>
      </w:r>
    </w:p>
    <w:p>
      <w:pPr>
        <w:pStyle w:val="25"/>
        <w:numPr>
          <w:ilvl w:val="0"/>
          <w:numId w:val="16"/>
        </w:numPr>
        <w:tabs>
          <w:tab w:val="left" w:pos="945"/>
          <w:tab w:val="clear" w:pos="1560"/>
        </w:tabs>
        <w:spacing w:line="360" w:lineRule="auto"/>
        <w:ind w:left="945" w:firstLine="0"/>
        <w:rPr>
          <w:rFonts w:hAnsi="宋体" w:eastAsia="宋体"/>
          <w:sz w:val="24"/>
          <w:szCs w:val="24"/>
          <w:lang w:val="en-GB"/>
        </w:rPr>
      </w:pPr>
      <w:r>
        <w:rPr>
          <w:rFonts w:hint="eastAsia" w:hAnsi="宋体" w:eastAsia="宋体"/>
          <w:sz w:val="24"/>
          <w:szCs w:val="24"/>
          <w:lang w:val="en-GB"/>
        </w:rPr>
        <w:t>如乙方就未按合同规定履行义务或乙方服务标准未达到其合同约定标准等，甲方有权要求乙方支付会议合同金额的__%作为违约金。该违约金可在甲方应付合同价款中扣除。</w:t>
      </w:r>
    </w:p>
    <w:p>
      <w:pPr>
        <w:pStyle w:val="25"/>
        <w:tabs>
          <w:tab w:val="left" w:pos="0"/>
        </w:tabs>
        <w:spacing w:line="360" w:lineRule="auto"/>
        <w:ind w:left="945"/>
        <w:rPr>
          <w:rFonts w:hAnsi="宋体" w:eastAsia="宋体"/>
          <w:sz w:val="24"/>
          <w:szCs w:val="24"/>
          <w:lang w:val="en-GB"/>
        </w:rPr>
      </w:pPr>
      <w:r>
        <w:rPr>
          <w:rFonts w:hint="eastAsia" w:hAnsi="宋体" w:eastAsia="宋体"/>
          <w:sz w:val="24"/>
          <w:szCs w:val="24"/>
          <w:lang w:val="en-GB"/>
        </w:rPr>
        <w:t>c. 因乙方违约造成的损失超过违约金数额的，乙方应按有关法律、法规的规定，承担赔偿责任。</w:t>
      </w:r>
    </w:p>
    <w:p>
      <w:pPr>
        <w:pStyle w:val="25"/>
        <w:tabs>
          <w:tab w:val="left" w:pos="2310"/>
        </w:tabs>
        <w:spacing w:line="360" w:lineRule="auto"/>
        <w:ind w:firstLine="480" w:firstLineChars="200"/>
        <w:rPr>
          <w:rFonts w:hAnsi="宋体" w:eastAsia="宋体"/>
          <w:sz w:val="24"/>
          <w:szCs w:val="24"/>
        </w:rPr>
      </w:pPr>
      <w:r>
        <w:rPr>
          <w:rFonts w:hint="eastAsia" w:hAnsi="宋体" w:eastAsia="宋体"/>
          <w:sz w:val="24"/>
          <w:szCs w:val="24"/>
        </w:rPr>
        <w:t>2．甲方的</w:t>
      </w:r>
      <w:r>
        <w:rPr>
          <w:rFonts w:hint="eastAsia" w:hAnsi="宋体" w:eastAsia="宋体"/>
          <w:sz w:val="24"/>
          <w:szCs w:val="24"/>
          <w:lang w:val="en-GB"/>
        </w:rPr>
        <w:t>违约责任</w:t>
      </w:r>
    </w:p>
    <w:p>
      <w:pPr>
        <w:pStyle w:val="25"/>
        <w:tabs>
          <w:tab w:val="left" w:pos="0"/>
        </w:tabs>
        <w:spacing w:line="360" w:lineRule="auto"/>
        <w:ind w:left="-2" w:leftChars="-1"/>
        <w:rPr>
          <w:rFonts w:hAnsi="宋体" w:eastAsia="宋体"/>
          <w:sz w:val="24"/>
          <w:szCs w:val="24"/>
          <w:lang w:val="en-GB"/>
        </w:rPr>
      </w:pPr>
      <w:r>
        <w:rPr>
          <w:rFonts w:hint="eastAsia" w:hAnsi="宋体" w:eastAsia="宋体"/>
          <w:sz w:val="24"/>
          <w:szCs w:val="24"/>
          <w:lang w:val="en-GB"/>
        </w:rPr>
        <w:tab/>
      </w:r>
      <w:r>
        <w:rPr>
          <w:rFonts w:hint="eastAsia" w:hAnsi="宋体" w:eastAsia="宋体"/>
          <w:sz w:val="24"/>
          <w:szCs w:val="24"/>
          <w:lang w:val="en-GB"/>
        </w:rPr>
        <w:tab/>
      </w:r>
      <w:r>
        <w:rPr>
          <w:rFonts w:hint="eastAsia" w:hAnsi="宋体" w:eastAsia="宋体"/>
          <w:sz w:val="24"/>
          <w:szCs w:val="24"/>
          <w:lang w:val="en-GB"/>
        </w:rPr>
        <w:t xml:space="preserve"> 如果甲方取消会议：</w:t>
      </w:r>
    </w:p>
    <w:p>
      <w:pPr>
        <w:pStyle w:val="25"/>
        <w:tabs>
          <w:tab w:val="left" w:pos="2310"/>
        </w:tabs>
        <w:spacing w:line="360" w:lineRule="auto"/>
        <w:ind w:firstLine="360" w:firstLineChars="150"/>
        <w:rPr>
          <w:rFonts w:hAnsi="宋体" w:eastAsia="宋体"/>
          <w:sz w:val="24"/>
          <w:szCs w:val="24"/>
          <w:lang w:val="en-GB"/>
        </w:rPr>
      </w:pPr>
      <w:r>
        <w:rPr>
          <w:rFonts w:hint="eastAsia" w:hAnsi="宋体" w:eastAsia="宋体"/>
          <w:sz w:val="24"/>
          <w:szCs w:val="24"/>
          <w:lang w:val="en-GB"/>
        </w:rPr>
        <w:t>(a)甲方在约定的会议开始开始之日前提前_日以上（含_日）通知乙方的，乙方可获得该次会议总价__%的违约金（乙方可从甲方的已付合同价款中扣除，剩余部分应在7日内退还甲方）；</w:t>
      </w:r>
    </w:p>
    <w:p>
      <w:pPr>
        <w:pStyle w:val="25"/>
        <w:tabs>
          <w:tab w:val="left" w:pos="2310"/>
        </w:tabs>
        <w:spacing w:line="360" w:lineRule="auto"/>
        <w:ind w:firstLine="360" w:firstLineChars="150"/>
        <w:rPr>
          <w:rFonts w:hAnsi="宋体" w:eastAsia="宋体"/>
          <w:sz w:val="24"/>
          <w:szCs w:val="24"/>
          <w:lang w:val="en-GB"/>
        </w:rPr>
      </w:pPr>
      <w:r>
        <w:rPr>
          <w:rFonts w:hint="eastAsia" w:hAnsi="宋体" w:eastAsia="宋体"/>
          <w:sz w:val="24"/>
          <w:szCs w:val="24"/>
          <w:lang w:val="en-GB"/>
        </w:rPr>
        <w:t>(b)甲方在约定的会议开始日前7日之内通知的，乙方可获得该次会议总价__%的违约金（乙方可从甲方已付合同价款中扣除，剩余部分应在_日内退还甲方）。</w:t>
      </w:r>
    </w:p>
    <w:p>
      <w:pPr>
        <w:pStyle w:val="25"/>
        <w:tabs>
          <w:tab w:val="left" w:pos="2310"/>
        </w:tabs>
        <w:spacing w:line="360" w:lineRule="auto"/>
        <w:rPr>
          <w:rFonts w:hAnsi="宋体" w:eastAsia="宋体"/>
          <w:sz w:val="24"/>
          <w:szCs w:val="24"/>
          <w:lang w:val="en-GB"/>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第十条 责任的减轻和免除</w:t>
      </w:r>
    </w:p>
    <w:p>
      <w:pPr>
        <w:pStyle w:val="25"/>
        <w:tabs>
          <w:tab w:val="left" w:pos="105"/>
        </w:tabs>
        <w:spacing w:line="360" w:lineRule="auto"/>
        <w:rPr>
          <w:rFonts w:hAnsi="宋体" w:eastAsia="宋体"/>
          <w:sz w:val="24"/>
          <w:szCs w:val="24"/>
        </w:rPr>
      </w:pPr>
      <w:r>
        <w:rPr>
          <w:rFonts w:hint="eastAsia" w:hAnsi="宋体" w:eastAsia="宋体"/>
          <w:sz w:val="24"/>
          <w:szCs w:val="24"/>
        </w:rPr>
        <w:t>1.</w:t>
      </w:r>
      <w:r>
        <w:rPr>
          <w:rFonts w:hint="eastAsia" w:hAnsi="宋体" w:eastAsia="宋体"/>
          <w:sz w:val="24"/>
          <w:szCs w:val="24"/>
        </w:rPr>
        <w:tab/>
      </w:r>
      <w:r>
        <w:rPr>
          <w:rFonts w:hint="eastAsia" w:hAnsi="宋体" w:eastAsia="宋体"/>
          <w:sz w:val="24"/>
          <w:szCs w:val="24"/>
        </w:rPr>
        <w:t>甲乙双方因不可抗力不能履行合同的，根据不可抗力的影响，部分或者全部免除责任，</w:t>
      </w:r>
      <w:r>
        <w:rPr>
          <w:rFonts w:hint="eastAsia" w:hAnsi="宋体" w:eastAsia="宋体"/>
          <w:sz w:val="24"/>
          <w:szCs w:val="24"/>
        </w:rPr>
        <w:tab/>
      </w:r>
      <w:r>
        <w:rPr>
          <w:rFonts w:hint="eastAsia" w:hAnsi="宋体" w:eastAsia="宋体"/>
          <w:sz w:val="24"/>
          <w:szCs w:val="24"/>
        </w:rPr>
        <w:tab/>
      </w:r>
      <w:r>
        <w:rPr>
          <w:rFonts w:hint="eastAsia" w:hAnsi="宋体" w:eastAsia="宋体"/>
          <w:sz w:val="24"/>
          <w:szCs w:val="24"/>
        </w:rPr>
        <w:t>但法律另有规定的除外。发生不可抗力事件后，甲方保留取消会议或要求将该次会议</w:t>
      </w:r>
      <w:r>
        <w:rPr>
          <w:rFonts w:hint="eastAsia" w:hAnsi="宋体" w:eastAsia="宋体"/>
          <w:sz w:val="24"/>
          <w:szCs w:val="24"/>
        </w:rPr>
        <w:tab/>
      </w:r>
      <w:r>
        <w:rPr>
          <w:rFonts w:hint="eastAsia" w:hAnsi="宋体" w:eastAsia="宋体"/>
          <w:sz w:val="24"/>
          <w:szCs w:val="24"/>
        </w:rPr>
        <w:tab/>
      </w:r>
      <w:r>
        <w:rPr>
          <w:rFonts w:hint="eastAsia" w:hAnsi="宋体" w:eastAsia="宋体"/>
          <w:sz w:val="24"/>
          <w:szCs w:val="24"/>
        </w:rPr>
        <w:t>延期举行的权利。如果甲方要求将会议延期举行，则在不可抗力事件消除后乙方应当</w:t>
      </w:r>
      <w:r>
        <w:rPr>
          <w:rFonts w:hint="eastAsia" w:hAnsi="宋体" w:eastAsia="宋体"/>
          <w:sz w:val="24"/>
          <w:szCs w:val="24"/>
        </w:rPr>
        <w:tab/>
      </w:r>
      <w:r>
        <w:rPr>
          <w:rFonts w:hint="eastAsia" w:hAnsi="宋体" w:eastAsia="宋体"/>
          <w:sz w:val="24"/>
          <w:szCs w:val="24"/>
        </w:rPr>
        <w:tab/>
      </w:r>
      <w:r>
        <w:rPr>
          <w:rFonts w:hint="eastAsia" w:hAnsi="宋体" w:eastAsia="宋体"/>
          <w:sz w:val="24"/>
          <w:szCs w:val="24"/>
        </w:rPr>
        <w:t>继续执行该次会议。</w:t>
      </w:r>
    </w:p>
    <w:p>
      <w:pPr>
        <w:pStyle w:val="25"/>
        <w:tabs>
          <w:tab w:val="left" w:pos="0"/>
        </w:tabs>
        <w:spacing w:line="360" w:lineRule="auto"/>
        <w:rPr>
          <w:rFonts w:hAnsi="宋体" w:eastAsia="宋体"/>
          <w:sz w:val="24"/>
          <w:szCs w:val="24"/>
        </w:rPr>
      </w:pPr>
      <w:r>
        <w:rPr>
          <w:rFonts w:hint="eastAsia" w:hAnsi="宋体" w:eastAsia="宋体"/>
          <w:sz w:val="24"/>
          <w:szCs w:val="24"/>
        </w:rPr>
        <w:tab/>
      </w:r>
      <w:r>
        <w:rPr>
          <w:rFonts w:hint="eastAsia" w:hAnsi="宋体" w:eastAsia="宋体"/>
          <w:sz w:val="24"/>
          <w:szCs w:val="24"/>
        </w:rPr>
        <w:t>受不可抗力影响的一方应在不可抗力发生后尽可能短的时间内以传真或电传方式通知</w:t>
      </w:r>
      <w:r>
        <w:rPr>
          <w:rFonts w:hint="eastAsia" w:hAnsi="宋体" w:eastAsia="宋体"/>
          <w:sz w:val="24"/>
          <w:szCs w:val="24"/>
        </w:rPr>
        <w:tab/>
      </w:r>
      <w:r>
        <w:rPr>
          <w:rFonts w:hint="eastAsia" w:hAnsi="宋体" w:eastAsia="宋体"/>
          <w:sz w:val="24"/>
          <w:szCs w:val="24"/>
        </w:rPr>
        <w:t>对方并于_日内通过航空挂号信向对方发出由有关当局签发的证明以便对方确认。</w:t>
      </w:r>
    </w:p>
    <w:p>
      <w:pPr>
        <w:pStyle w:val="25"/>
        <w:tabs>
          <w:tab w:val="left" w:pos="0"/>
        </w:tabs>
        <w:spacing w:line="360" w:lineRule="auto"/>
        <w:rPr>
          <w:rFonts w:hAnsi="宋体" w:eastAsia="宋体"/>
          <w:sz w:val="24"/>
          <w:szCs w:val="24"/>
          <w:lang w:val="en-GB"/>
        </w:rPr>
      </w:pPr>
      <w:r>
        <w:rPr>
          <w:rFonts w:hint="eastAsia" w:hAnsi="宋体" w:eastAsia="宋体"/>
          <w:sz w:val="24"/>
          <w:szCs w:val="24"/>
        </w:rPr>
        <w:t>2.</w:t>
      </w:r>
      <w:r>
        <w:rPr>
          <w:rFonts w:hint="eastAsia" w:hAnsi="宋体" w:eastAsia="宋体"/>
          <w:sz w:val="24"/>
          <w:szCs w:val="24"/>
        </w:rPr>
        <w:tab/>
      </w:r>
      <w:r>
        <w:rPr>
          <w:rFonts w:hint="eastAsia" w:hAnsi="宋体" w:eastAsia="宋体"/>
          <w:sz w:val="24"/>
          <w:szCs w:val="24"/>
        </w:rPr>
        <w:t>甲、乙一方违约后，对方应当采取适当措施防止损失的扩大；没有采取适当措施致使</w:t>
      </w:r>
      <w:r>
        <w:rPr>
          <w:rFonts w:hint="eastAsia" w:hAnsi="宋体" w:eastAsia="宋体"/>
          <w:sz w:val="24"/>
          <w:szCs w:val="24"/>
        </w:rPr>
        <w:tab/>
      </w:r>
      <w:r>
        <w:rPr>
          <w:rFonts w:hint="eastAsia" w:hAnsi="宋体" w:eastAsia="宋体"/>
          <w:sz w:val="24"/>
          <w:szCs w:val="24"/>
        </w:rPr>
        <w:tab/>
      </w:r>
      <w:r>
        <w:rPr>
          <w:rFonts w:hint="eastAsia" w:hAnsi="宋体" w:eastAsia="宋体"/>
          <w:sz w:val="24"/>
          <w:szCs w:val="24"/>
        </w:rPr>
        <w:t>损失扩大的，不得就扩大的损失要求赔偿。甲、乙一方因防止损失扩大而支出的合理</w:t>
      </w:r>
      <w:r>
        <w:rPr>
          <w:rFonts w:hint="eastAsia" w:hAnsi="宋体" w:eastAsia="宋体"/>
          <w:sz w:val="24"/>
          <w:szCs w:val="24"/>
        </w:rPr>
        <w:tab/>
      </w:r>
      <w:r>
        <w:rPr>
          <w:rFonts w:hint="eastAsia" w:hAnsi="宋体" w:eastAsia="宋体"/>
          <w:sz w:val="24"/>
          <w:szCs w:val="24"/>
        </w:rPr>
        <w:tab/>
      </w:r>
      <w:r>
        <w:rPr>
          <w:rFonts w:hint="eastAsia" w:hAnsi="宋体" w:eastAsia="宋体"/>
          <w:sz w:val="24"/>
          <w:szCs w:val="24"/>
        </w:rPr>
        <w:t>费用，由违约方承担。</w:t>
      </w:r>
    </w:p>
    <w:p>
      <w:pPr>
        <w:pStyle w:val="25"/>
        <w:tabs>
          <w:tab w:val="left" w:pos="2310"/>
        </w:tabs>
        <w:spacing w:line="360" w:lineRule="auto"/>
        <w:rPr>
          <w:rFonts w:hAnsi="宋体" w:eastAsia="宋体"/>
          <w:sz w:val="24"/>
          <w:szCs w:val="24"/>
          <w:lang w:val="en-GB"/>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第十一条 合同的变更</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经甲、乙双方协商一致，可以以书面形式变更本合同的内容。</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w:t>
      </w:r>
    </w:p>
    <w:p>
      <w:pPr>
        <w:pStyle w:val="25"/>
        <w:tabs>
          <w:tab w:val="left" w:pos="2310"/>
        </w:tabs>
        <w:spacing w:line="360" w:lineRule="auto"/>
        <w:rPr>
          <w:rFonts w:hAnsi="宋体" w:eastAsia="宋体"/>
          <w:b/>
          <w:sz w:val="24"/>
          <w:szCs w:val="24"/>
        </w:rPr>
      </w:pPr>
      <w:r>
        <w:rPr>
          <w:rFonts w:hint="eastAsia" w:hAnsi="宋体" w:eastAsia="宋体"/>
          <w:b/>
          <w:sz w:val="24"/>
          <w:szCs w:val="24"/>
        </w:rPr>
        <w:t>第十二条 合同的转让</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甲方可以将其在本合同项下的权利义务转让给第三人，但应当在约定的出发日前10日通知乙方。如有费用增加，由甲方负担。未经甲方同意乙方不得将其在本合同项下的权利义务转让给第三方。</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第十三条 合同的解除</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在履行本合同的过程中，一方当事人有权根据下列规定解除本合同：</w:t>
      </w:r>
    </w:p>
    <w:p>
      <w:pPr>
        <w:pStyle w:val="25"/>
        <w:tabs>
          <w:tab w:val="left" w:pos="0"/>
        </w:tabs>
        <w:spacing w:line="360" w:lineRule="auto"/>
        <w:rPr>
          <w:rFonts w:hAnsi="宋体" w:eastAsia="宋体"/>
          <w:sz w:val="24"/>
          <w:szCs w:val="24"/>
        </w:rPr>
      </w:pPr>
      <w:r>
        <w:rPr>
          <w:rFonts w:hint="eastAsia" w:hAnsi="宋体" w:eastAsia="宋体"/>
          <w:sz w:val="24"/>
          <w:szCs w:val="24"/>
        </w:rPr>
        <w:t>1.</w:t>
      </w:r>
      <w:r>
        <w:rPr>
          <w:rFonts w:hint="eastAsia" w:hAnsi="宋体" w:eastAsia="宋体"/>
          <w:sz w:val="24"/>
          <w:szCs w:val="24"/>
        </w:rPr>
        <w:tab/>
      </w:r>
      <w:r>
        <w:rPr>
          <w:rFonts w:hint="eastAsia" w:hAnsi="宋体" w:eastAsia="宋体"/>
          <w:sz w:val="24"/>
          <w:szCs w:val="24"/>
        </w:rPr>
        <w:t>乙方未能提供合同约定的服务或提供服务不符合合同约定的，甲方要求其纠正的，乙方未能在甲方指定期限内履行的或履行后仍不符合合同规定的，甲方有权解除本合同，并可就其造成的损失，向乙方提出索赔；</w:t>
      </w:r>
    </w:p>
    <w:p>
      <w:pPr>
        <w:pStyle w:val="25"/>
        <w:tabs>
          <w:tab w:val="left" w:pos="0"/>
        </w:tabs>
        <w:spacing w:line="360" w:lineRule="auto"/>
        <w:rPr>
          <w:rFonts w:hAnsi="宋体" w:eastAsia="宋体"/>
          <w:sz w:val="24"/>
          <w:szCs w:val="24"/>
        </w:rPr>
      </w:pPr>
      <w:r>
        <w:rPr>
          <w:rFonts w:hint="eastAsia" w:hAnsi="宋体" w:eastAsia="宋体"/>
          <w:sz w:val="24"/>
          <w:szCs w:val="24"/>
        </w:rPr>
        <w:t>2.</w:t>
      </w:r>
      <w:r>
        <w:rPr>
          <w:rFonts w:hint="eastAsia" w:hAnsi="宋体" w:eastAsia="宋体"/>
          <w:sz w:val="24"/>
          <w:szCs w:val="24"/>
        </w:rPr>
        <w:tab/>
      </w:r>
      <w:r>
        <w:rPr>
          <w:rFonts w:hint="eastAsia" w:hAnsi="宋体" w:eastAsia="宋体"/>
          <w:sz w:val="24"/>
          <w:szCs w:val="24"/>
        </w:rPr>
        <w:t>乙方违反保密义务，经甲方提出要求改正后的__日内仍未改正的，甲方有权解除合同，并可就其造成的损失，向乙方提出索赔。</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第十四条 争议的解决</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本合同在履行中如发生争议，双方应协商解决，协商不成，任一方均可向甲方所在地人民法院提起诉讼。</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w:t>
      </w:r>
    </w:p>
    <w:p>
      <w:pPr>
        <w:pStyle w:val="25"/>
        <w:tabs>
          <w:tab w:val="left" w:pos="2310"/>
        </w:tabs>
        <w:spacing w:line="360" w:lineRule="auto"/>
        <w:rPr>
          <w:rFonts w:hAnsi="宋体" w:eastAsia="宋体"/>
          <w:b/>
          <w:sz w:val="24"/>
          <w:szCs w:val="24"/>
        </w:rPr>
      </w:pPr>
      <w:r>
        <w:rPr>
          <w:rFonts w:hint="eastAsia" w:hAnsi="宋体" w:eastAsia="宋体"/>
          <w:b/>
          <w:sz w:val="24"/>
          <w:szCs w:val="24"/>
        </w:rPr>
        <w:t>第十五条 合同的效力</w:t>
      </w:r>
    </w:p>
    <w:p>
      <w:pPr>
        <w:pStyle w:val="25"/>
        <w:tabs>
          <w:tab w:val="left" w:pos="2310"/>
        </w:tabs>
        <w:spacing w:line="360" w:lineRule="auto"/>
        <w:rPr>
          <w:rFonts w:hAnsi="宋体" w:eastAsia="宋体"/>
          <w:sz w:val="24"/>
          <w:szCs w:val="24"/>
        </w:rPr>
      </w:pPr>
      <w:r>
        <w:rPr>
          <w:rFonts w:hint="eastAsia" w:hAnsi="宋体" w:eastAsia="宋体"/>
          <w:sz w:val="24"/>
          <w:szCs w:val="24"/>
        </w:rPr>
        <w:t xml:space="preserve">    本合同一式肆份，双方各执两份，具有同等效力。</w:t>
      </w:r>
    </w:p>
    <w:p>
      <w:pPr>
        <w:pStyle w:val="25"/>
        <w:tabs>
          <w:tab w:val="left" w:pos="2310"/>
        </w:tabs>
        <w:spacing w:line="360" w:lineRule="auto"/>
        <w:rPr>
          <w:rFonts w:hAnsi="宋体" w:eastAsia="宋体"/>
          <w:sz w:val="24"/>
          <w:szCs w:val="24"/>
        </w:rPr>
      </w:pPr>
    </w:p>
    <w:p>
      <w:pPr>
        <w:pStyle w:val="25"/>
        <w:tabs>
          <w:tab w:val="left" w:pos="2310"/>
        </w:tabs>
        <w:spacing w:line="360" w:lineRule="auto"/>
        <w:rPr>
          <w:rFonts w:hAnsi="宋体" w:eastAsia="宋体"/>
          <w:b/>
          <w:sz w:val="24"/>
          <w:szCs w:val="24"/>
        </w:rPr>
      </w:pPr>
      <w:r>
        <w:rPr>
          <w:rFonts w:hint="eastAsia" w:hAnsi="宋体" w:eastAsia="宋体"/>
          <w:b/>
          <w:sz w:val="24"/>
          <w:szCs w:val="24"/>
        </w:rPr>
        <w:t>第十六条 合同的生效和期限</w:t>
      </w:r>
    </w:p>
    <w:p>
      <w:pPr>
        <w:pStyle w:val="25"/>
        <w:tabs>
          <w:tab w:val="left" w:pos="2310"/>
        </w:tabs>
        <w:spacing w:line="360" w:lineRule="auto"/>
        <w:rPr>
          <w:rFonts w:hAnsi="宋体" w:eastAsia="宋体"/>
          <w:sz w:val="24"/>
          <w:szCs w:val="24"/>
        </w:rPr>
        <w:sectPr>
          <w:headerReference r:id="rId6" w:type="default"/>
          <w:footerReference r:id="rId7" w:type="even"/>
          <w:pgSz w:w="11906" w:h="16838"/>
          <w:pgMar w:top="1728" w:right="1296" w:bottom="1728" w:left="1296" w:header="850" w:footer="994" w:gutter="0"/>
          <w:cols w:space="720" w:num="1"/>
          <w:docGrid w:type="lines" w:linePitch="312" w:charSpace="0"/>
        </w:sectPr>
      </w:pPr>
      <w:r>
        <w:rPr>
          <w:rFonts w:hint="eastAsia" w:hAnsi="宋体" w:eastAsia="宋体"/>
          <w:sz w:val="24"/>
          <w:szCs w:val="24"/>
        </w:rPr>
        <w:t xml:space="preserve">    本合同自双方盖章后生效。</w:t>
      </w:r>
    </w:p>
    <w:p>
      <w:pPr>
        <w:spacing w:line="360" w:lineRule="auto"/>
        <w:ind w:firstLine="240" w:firstLineChars="100"/>
      </w:pPr>
      <w:r>
        <w:rPr>
          <w:rFonts w:hint="eastAsia"/>
        </w:rPr>
        <w:t>甲方（盖章）                              乙方（盖章）</w:t>
      </w:r>
    </w:p>
    <w:p>
      <w:pPr>
        <w:spacing w:line="360" w:lineRule="auto"/>
      </w:pPr>
      <w:r>
        <w:rPr>
          <w:rFonts w:hint="eastAsia"/>
        </w:rPr>
        <w:t xml:space="preserve">  代表签字：                                 代表签字：</w:t>
      </w:r>
    </w:p>
    <w:p>
      <w:pPr>
        <w:spacing w:line="360" w:lineRule="auto"/>
      </w:pPr>
    </w:p>
    <w:p>
      <w:pPr>
        <w:spacing w:line="360" w:lineRule="auto"/>
      </w:pPr>
      <w:r>
        <w:rPr>
          <w:rFonts w:hint="eastAsia"/>
        </w:rPr>
        <w:t xml:space="preserve">    年   月  日                                   年   月  日</w:t>
      </w:r>
    </w:p>
    <w:p>
      <w:pPr>
        <w:rPr>
          <w:rFonts w:cstheme="minorBidi"/>
          <w:b/>
          <w:kern w:val="2"/>
          <w:sz w:val="28"/>
          <w:szCs w:val="28"/>
        </w:rPr>
      </w:pPr>
      <w:r>
        <w:rPr>
          <w:rFonts w:cstheme="minorBidi"/>
          <w:b/>
          <w:kern w:val="2"/>
          <w:sz w:val="28"/>
          <w:szCs w:val="28"/>
        </w:rPr>
        <w:br w:type="page"/>
      </w:r>
    </w:p>
    <w:p>
      <w:pPr>
        <w:pStyle w:val="21"/>
        <w:tabs>
          <w:tab w:val="left" w:pos="2291"/>
        </w:tabs>
        <w:spacing w:before="79" w:line="540" w:lineRule="exact"/>
        <w:jc w:val="center"/>
        <w:outlineLvl w:val="0"/>
        <w:rPr>
          <w:rFonts w:hAnsi="宋体" w:eastAsia="宋体"/>
          <w:kern w:val="0"/>
        </w:rPr>
      </w:pPr>
      <w:r>
        <w:rPr>
          <w:rFonts w:hint="eastAsia" w:hAnsi="宋体" w:eastAsia="宋体"/>
          <w:b/>
          <w:sz w:val="28"/>
          <w:szCs w:val="28"/>
        </w:rPr>
        <w:t>第五部分</w:t>
      </w:r>
      <w:r>
        <w:rPr>
          <w:rFonts w:hAnsi="宋体" w:eastAsia="宋体"/>
          <w:b/>
          <w:sz w:val="28"/>
          <w:szCs w:val="28"/>
        </w:rPr>
        <w:t xml:space="preserve">  </w:t>
      </w:r>
      <w:bookmarkEnd w:id="84"/>
      <w:bookmarkEnd w:id="85"/>
      <w:bookmarkStart w:id="88" w:name="_Toc251598658"/>
      <w:bookmarkStart w:id="89" w:name="_Toc144302902"/>
      <w:r>
        <w:rPr>
          <w:rFonts w:hint="eastAsia" w:hAnsi="宋体" w:eastAsia="宋体"/>
          <w:b/>
          <w:sz w:val="28"/>
          <w:szCs w:val="28"/>
        </w:rPr>
        <w:t>服务要求</w:t>
      </w:r>
      <w:r>
        <w:rPr>
          <w:rFonts w:hAnsi="宋体" w:eastAsia="宋体"/>
        </w:rPr>
        <w:t xml:space="preserve"> </w:t>
      </w:r>
      <w:bookmarkEnd w:id="88"/>
      <w:bookmarkEnd w:id="89"/>
    </w:p>
    <w:p>
      <w:pPr>
        <w:widowControl w:val="0"/>
        <w:numPr>
          <w:ilvl w:val="0"/>
          <w:numId w:val="18"/>
        </w:numPr>
        <w:spacing w:line="480" w:lineRule="auto"/>
        <w:rPr>
          <w:b/>
        </w:rPr>
      </w:pPr>
      <w:r>
        <w:rPr>
          <w:rFonts w:hint="eastAsia"/>
          <w:b/>
        </w:rPr>
        <w:t>会议基本信息</w:t>
      </w:r>
    </w:p>
    <w:p>
      <w:pPr>
        <w:widowControl w:val="0"/>
        <w:numPr>
          <w:ilvl w:val="0"/>
          <w:numId w:val="19"/>
        </w:numPr>
        <w:spacing w:line="480" w:lineRule="auto"/>
      </w:pPr>
      <w:r>
        <w:rPr>
          <w:rFonts w:hint="eastAsia"/>
        </w:rPr>
        <w:t>会议名称：2022年度高峰会-Back to the future；</w:t>
      </w:r>
    </w:p>
    <w:p>
      <w:pPr>
        <w:widowControl w:val="0"/>
        <w:numPr>
          <w:ilvl w:val="0"/>
          <w:numId w:val="19"/>
        </w:numPr>
        <w:spacing w:line="480" w:lineRule="auto"/>
      </w:pPr>
      <w:r>
        <w:rPr>
          <w:rFonts w:hint="eastAsia"/>
        </w:rPr>
        <w:t>时间：5月14日</w:t>
      </w:r>
      <w:r>
        <w:t xml:space="preserve"> </w:t>
      </w:r>
      <w:r>
        <w:rPr>
          <w:rFonts w:hint="eastAsia"/>
        </w:rPr>
        <w:t>，预计14日下午3点开始-晚21:00结束；</w:t>
      </w:r>
    </w:p>
    <w:p>
      <w:pPr>
        <w:spacing w:line="480" w:lineRule="auto"/>
        <w:ind w:left="420"/>
      </w:pPr>
      <w:r>
        <w:rPr>
          <w:rFonts w:hint="eastAsia"/>
        </w:rPr>
        <w:t>颁奖时长约2-3小时；</w:t>
      </w:r>
    </w:p>
    <w:p>
      <w:pPr>
        <w:widowControl w:val="0"/>
        <w:numPr>
          <w:ilvl w:val="0"/>
          <w:numId w:val="19"/>
        </w:numPr>
        <w:spacing w:line="480" w:lineRule="auto"/>
      </w:pPr>
      <w:r>
        <w:rPr>
          <w:rFonts w:hint="eastAsia"/>
        </w:rPr>
        <w:t xml:space="preserve">会议内容：含颁奖典礼及晚宴； </w:t>
      </w:r>
    </w:p>
    <w:p>
      <w:pPr>
        <w:pStyle w:val="61"/>
        <w:numPr>
          <w:ilvl w:val="0"/>
          <w:numId w:val="19"/>
        </w:numPr>
        <w:spacing w:line="480" w:lineRule="auto"/>
        <w:ind w:firstLineChars="0"/>
        <w:jc w:val="left"/>
        <w:rPr>
          <w:rFonts w:ascii="宋体" w:hAnsi="宋体" w:eastAsia="宋体"/>
          <w:sz w:val="24"/>
        </w:rPr>
      </w:pPr>
      <w:r>
        <w:rPr>
          <w:rFonts w:ascii="宋体" w:hAnsi="宋体" w:eastAsia="宋体"/>
          <w:sz w:val="24"/>
        </w:rPr>
        <w:t>表彰地点</w:t>
      </w:r>
      <w:r>
        <w:rPr>
          <w:rFonts w:hint="eastAsia" w:ascii="宋体" w:hAnsi="宋体" w:eastAsia="宋体"/>
          <w:sz w:val="24"/>
        </w:rPr>
        <w:t>：广州；</w:t>
      </w:r>
    </w:p>
    <w:p>
      <w:pPr>
        <w:widowControl w:val="0"/>
        <w:numPr>
          <w:ilvl w:val="0"/>
          <w:numId w:val="19"/>
        </w:numPr>
        <w:spacing w:line="480" w:lineRule="auto"/>
      </w:pPr>
      <w:r>
        <w:rPr>
          <w:rFonts w:hint="eastAsia"/>
        </w:rPr>
        <w:t>参会人数：约230人</w:t>
      </w:r>
    </w:p>
    <w:p>
      <w:pPr>
        <w:widowControl w:val="0"/>
        <w:numPr>
          <w:ilvl w:val="0"/>
          <w:numId w:val="18"/>
        </w:numPr>
        <w:spacing w:line="480" w:lineRule="auto"/>
        <w:rPr>
          <w:b/>
        </w:rPr>
      </w:pPr>
      <w:r>
        <w:rPr>
          <w:rFonts w:hint="eastAsia"/>
          <w:b/>
        </w:rPr>
        <w:t>基础需求：</w:t>
      </w:r>
      <w:bookmarkStart w:id="122" w:name="_GoBack"/>
      <w:bookmarkEnd w:id="122"/>
    </w:p>
    <w:p>
      <w:pPr>
        <w:pStyle w:val="61"/>
        <w:numPr>
          <w:ilvl w:val="0"/>
          <w:numId w:val="20"/>
        </w:numPr>
        <w:spacing w:line="480" w:lineRule="auto"/>
        <w:ind w:firstLineChars="0"/>
        <w:jc w:val="left"/>
        <w:rPr>
          <w:rFonts w:ascii="宋体" w:hAnsi="宋体" w:eastAsia="宋体"/>
          <w:sz w:val="24"/>
        </w:rPr>
      </w:pPr>
      <w:r>
        <w:rPr>
          <w:rFonts w:hint="eastAsia" w:ascii="宋体" w:hAnsi="宋体" w:eastAsia="宋体"/>
          <w:sz w:val="24"/>
        </w:rPr>
        <w:t xml:space="preserve">本次会议主题：Back </w:t>
      </w:r>
      <w:r>
        <w:rPr>
          <w:rFonts w:ascii="宋体" w:hAnsi="宋体" w:eastAsia="宋体"/>
          <w:sz w:val="24"/>
        </w:rPr>
        <w:t>to the</w:t>
      </w:r>
      <w:r>
        <w:rPr>
          <w:rFonts w:hint="eastAsia" w:ascii="宋体" w:hAnsi="宋体" w:eastAsia="宋体"/>
          <w:sz w:val="24"/>
        </w:rPr>
        <w:t xml:space="preserve"> Future，可根据主题做延伸，设计会议现场视觉主形，可结合公司20周年主题；</w:t>
      </w:r>
    </w:p>
    <w:p>
      <w:pPr>
        <w:pStyle w:val="61"/>
        <w:spacing w:line="480" w:lineRule="auto"/>
        <w:ind w:left="360" w:firstLine="0" w:firstLineChars="0"/>
        <w:jc w:val="left"/>
        <w:rPr>
          <w:rFonts w:ascii="宋体" w:hAnsi="宋体" w:eastAsia="宋体"/>
          <w:sz w:val="24"/>
        </w:rPr>
      </w:pPr>
      <w:r>
        <w:rPr>
          <w:rFonts w:hint="eastAsia" w:ascii="宋体" w:hAnsi="宋体" w:eastAsia="宋体"/>
          <w:sz w:val="24"/>
        </w:rPr>
        <w:t>公司背景：中英人寿保险有限公司由英国英杰华集团与中国中粮资本投资有限公司合资组建，于2003年1月1日正式开业总部设立于广州，后设立双总部北京、广州。</w:t>
      </w:r>
    </w:p>
    <w:p>
      <w:pPr>
        <w:pStyle w:val="61"/>
        <w:numPr>
          <w:ilvl w:val="0"/>
          <w:numId w:val="20"/>
        </w:numPr>
        <w:spacing w:line="480" w:lineRule="auto"/>
        <w:ind w:firstLineChars="0"/>
        <w:jc w:val="left"/>
        <w:rPr>
          <w:rFonts w:ascii="宋体" w:hAnsi="宋体" w:eastAsia="宋体"/>
          <w:sz w:val="24"/>
        </w:rPr>
      </w:pPr>
      <w:r>
        <w:rPr>
          <w:rFonts w:ascii="宋体" w:hAnsi="宋体" w:eastAsia="宋体"/>
          <w:sz w:val="24"/>
        </w:rPr>
        <w:t>颁奖典礼现场流程设计</w:t>
      </w:r>
      <w:r>
        <w:rPr>
          <w:rFonts w:hint="eastAsia" w:ascii="宋体" w:hAnsi="宋体" w:eastAsia="宋体"/>
          <w:sz w:val="24"/>
        </w:rPr>
        <w:t>（配合主题对开场、串场、收尾环节提供资源及创意再延展。）</w:t>
      </w:r>
    </w:p>
    <w:p>
      <w:pPr>
        <w:pStyle w:val="61"/>
        <w:numPr>
          <w:ilvl w:val="0"/>
          <w:numId w:val="20"/>
        </w:numPr>
        <w:spacing w:line="480" w:lineRule="auto"/>
        <w:ind w:firstLineChars="0"/>
        <w:jc w:val="left"/>
        <w:rPr>
          <w:rFonts w:ascii="宋体" w:hAnsi="宋体" w:eastAsia="宋体"/>
          <w:sz w:val="24"/>
        </w:rPr>
      </w:pPr>
      <w:r>
        <w:rPr>
          <w:rFonts w:hint="eastAsia" w:ascii="宋体" w:hAnsi="宋体" w:eastAsia="宋体"/>
          <w:sz w:val="24"/>
        </w:rPr>
        <w:t>会议风格：有活力年轻化、突破性创意、能提供打破常规的尝试；</w:t>
      </w:r>
    </w:p>
    <w:p>
      <w:pPr>
        <w:pStyle w:val="61"/>
        <w:numPr>
          <w:ilvl w:val="0"/>
          <w:numId w:val="20"/>
        </w:numPr>
        <w:spacing w:line="480" w:lineRule="auto"/>
        <w:ind w:firstLineChars="0"/>
        <w:jc w:val="left"/>
        <w:rPr>
          <w:rFonts w:ascii="宋体" w:hAnsi="宋体" w:eastAsia="宋体"/>
          <w:sz w:val="24"/>
        </w:rPr>
      </w:pPr>
      <w:r>
        <w:rPr>
          <w:rFonts w:hint="eastAsia" w:ascii="宋体" w:hAnsi="宋体" w:eastAsia="宋体"/>
          <w:sz w:val="24"/>
        </w:rPr>
        <w:t>可推荐典礼场地：非常规宴会厅，展览场地（类似teamLab）、艺术感场地，可塑性强、稀缺资源场地；</w:t>
      </w:r>
    </w:p>
    <w:p>
      <w:pPr>
        <w:pStyle w:val="61"/>
        <w:numPr>
          <w:ilvl w:val="0"/>
          <w:numId w:val="20"/>
        </w:numPr>
        <w:spacing w:line="480" w:lineRule="auto"/>
        <w:ind w:firstLineChars="0"/>
        <w:jc w:val="left"/>
        <w:rPr>
          <w:rFonts w:ascii="宋体" w:hAnsi="宋体" w:eastAsia="宋体"/>
          <w:sz w:val="24"/>
        </w:rPr>
      </w:pPr>
      <w:r>
        <w:rPr>
          <w:rFonts w:hint="eastAsia" w:ascii="宋体" w:hAnsi="宋体" w:eastAsia="宋体"/>
          <w:sz w:val="24"/>
        </w:rPr>
        <w:t>从视觉、搭建等维度提供多种备选方案；</w:t>
      </w:r>
    </w:p>
    <w:p>
      <w:pPr>
        <w:widowControl w:val="0"/>
        <w:numPr>
          <w:ilvl w:val="0"/>
          <w:numId w:val="18"/>
        </w:numPr>
        <w:spacing w:line="480" w:lineRule="auto"/>
        <w:rPr>
          <w:b/>
        </w:rPr>
      </w:pPr>
      <w:r>
        <w:rPr>
          <w:rFonts w:hint="eastAsia"/>
          <w:b/>
        </w:rPr>
        <w:t>物料需求：</w:t>
      </w:r>
    </w:p>
    <w:p>
      <w:pPr>
        <w:pStyle w:val="61"/>
        <w:numPr>
          <w:ilvl w:val="0"/>
          <w:numId w:val="21"/>
        </w:numPr>
        <w:spacing w:line="480" w:lineRule="auto"/>
        <w:ind w:firstLineChars="0"/>
        <w:jc w:val="left"/>
        <w:rPr>
          <w:rFonts w:ascii="宋体" w:hAnsi="宋体" w:eastAsia="宋体"/>
          <w:sz w:val="24"/>
        </w:rPr>
      </w:pPr>
      <w:r>
        <w:rPr>
          <w:rFonts w:hint="eastAsia" w:ascii="宋体" w:hAnsi="宋体" w:eastAsia="宋体"/>
          <w:sz w:val="24"/>
        </w:rPr>
        <w:t>电子物料（不限于以下内容）</w:t>
      </w:r>
    </w:p>
    <w:p>
      <w:pPr>
        <w:pStyle w:val="61"/>
        <w:numPr>
          <w:ilvl w:val="0"/>
          <w:numId w:val="22"/>
        </w:numPr>
        <w:spacing w:line="480" w:lineRule="auto"/>
        <w:ind w:firstLineChars="0"/>
        <w:jc w:val="left"/>
        <w:rPr>
          <w:rFonts w:ascii="宋体" w:hAnsi="宋体" w:eastAsia="宋体"/>
          <w:sz w:val="24"/>
        </w:rPr>
      </w:pPr>
      <w:r>
        <w:rPr>
          <w:rFonts w:hint="eastAsia" w:ascii="宋体" w:hAnsi="宋体" w:eastAsia="宋体"/>
          <w:sz w:val="24"/>
        </w:rPr>
        <w:t>电子邀请函</w:t>
      </w:r>
    </w:p>
    <w:p>
      <w:pPr>
        <w:pStyle w:val="61"/>
        <w:numPr>
          <w:ilvl w:val="0"/>
          <w:numId w:val="22"/>
        </w:numPr>
        <w:spacing w:line="480" w:lineRule="auto"/>
        <w:ind w:firstLineChars="0"/>
        <w:jc w:val="left"/>
        <w:rPr>
          <w:rFonts w:ascii="宋体" w:hAnsi="宋体" w:eastAsia="宋体"/>
          <w:sz w:val="24"/>
        </w:rPr>
      </w:pPr>
      <w:r>
        <w:rPr>
          <w:rFonts w:hint="eastAsia" w:ascii="宋体" w:hAnsi="宋体" w:eastAsia="宋体"/>
          <w:sz w:val="24"/>
        </w:rPr>
        <w:t>倒计时海报</w:t>
      </w:r>
    </w:p>
    <w:p>
      <w:pPr>
        <w:pStyle w:val="61"/>
        <w:numPr>
          <w:ilvl w:val="0"/>
          <w:numId w:val="22"/>
        </w:numPr>
        <w:spacing w:line="480" w:lineRule="auto"/>
        <w:ind w:firstLineChars="0"/>
        <w:jc w:val="left"/>
        <w:rPr>
          <w:rFonts w:ascii="宋体" w:hAnsi="宋体" w:eastAsia="宋体"/>
          <w:sz w:val="24"/>
        </w:rPr>
      </w:pPr>
      <w:r>
        <w:rPr>
          <w:rFonts w:hint="eastAsia" w:ascii="宋体" w:hAnsi="宋体" w:eastAsia="宋体"/>
          <w:sz w:val="24"/>
        </w:rPr>
        <w:t>颁奖视频</w:t>
      </w:r>
    </w:p>
    <w:p>
      <w:pPr>
        <w:pStyle w:val="61"/>
        <w:numPr>
          <w:ilvl w:val="0"/>
          <w:numId w:val="21"/>
        </w:numPr>
        <w:spacing w:line="480" w:lineRule="auto"/>
        <w:ind w:firstLineChars="0"/>
        <w:jc w:val="left"/>
        <w:rPr>
          <w:rFonts w:ascii="宋体" w:hAnsi="宋体" w:eastAsia="宋体"/>
          <w:sz w:val="24"/>
        </w:rPr>
      </w:pPr>
      <w:r>
        <w:rPr>
          <w:rFonts w:ascii="宋体" w:hAnsi="宋体" w:eastAsia="宋体"/>
          <w:sz w:val="24"/>
        </w:rPr>
        <w:t>实体物料</w:t>
      </w:r>
    </w:p>
    <w:p>
      <w:pPr>
        <w:pStyle w:val="61"/>
        <w:numPr>
          <w:ilvl w:val="0"/>
          <w:numId w:val="23"/>
        </w:numPr>
        <w:spacing w:line="480" w:lineRule="auto"/>
        <w:ind w:firstLineChars="0"/>
        <w:jc w:val="left"/>
        <w:rPr>
          <w:rFonts w:ascii="宋体" w:hAnsi="宋体" w:eastAsia="宋体"/>
          <w:sz w:val="24"/>
        </w:rPr>
      </w:pPr>
      <w:r>
        <w:rPr>
          <w:rFonts w:hint="eastAsia" w:ascii="宋体" w:hAnsi="宋体" w:eastAsia="宋体"/>
          <w:sz w:val="24"/>
        </w:rPr>
        <w:t>提供多种特色奖杯（不限于奖杯形式）</w:t>
      </w:r>
    </w:p>
    <w:p>
      <w:pPr>
        <w:pStyle w:val="61"/>
        <w:numPr>
          <w:ilvl w:val="0"/>
          <w:numId w:val="23"/>
        </w:numPr>
        <w:spacing w:line="480" w:lineRule="auto"/>
        <w:ind w:firstLineChars="0"/>
        <w:jc w:val="left"/>
        <w:rPr>
          <w:rFonts w:ascii="宋体" w:hAnsi="宋体" w:eastAsia="宋体"/>
          <w:sz w:val="24"/>
        </w:rPr>
      </w:pPr>
      <w:r>
        <w:rPr>
          <w:rFonts w:ascii="宋体" w:hAnsi="宋体" w:eastAsia="宋体"/>
          <w:sz w:val="24"/>
        </w:rPr>
        <w:t>提供有设计感的获奖证书</w:t>
      </w:r>
    </w:p>
    <w:p>
      <w:pPr>
        <w:pStyle w:val="61"/>
        <w:numPr>
          <w:ilvl w:val="0"/>
          <w:numId w:val="23"/>
        </w:numPr>
        <w:spacing w:line="480" w:lineRule="auto"/>
        <w:ind w:firstLineChars="0"/>
        <w:jc w:val="left"/>
        <w:rPr>
          <w:rFonts w:ascii="宋体" w:hAnsi="宋体" w:eastAsia="宋体"/>
          <w:sz w:val="24"/>
        </w:rPr>
      </w:pPr>
      <w:r>
        <w:rPr>
          <w:rFonts w:hint="eastAsia" w:ascii="宋体" w:hAnsi="宋体" w:eastAsia="宋体"/>
          <w:sz w:val="24"/>
        </w:rPr>
        <w:t>纸质欢迎函</w:t>
      </w:r>
    </w:p>
    <w:p>
      <w:pPr>
        <w:pStyle w:val="61"/>
        <w:numPr>
          <w:ilvl w:val="0"/>
          <w:numId w:val="23"/>
        </w:numPr>
        <w:spacing w:line="480" w:lineRule="auto"/>
        <w:ind w:firstLineChars="0"/>
        <w:jc w:val="left"/>
        <w:rPr>
          <w:rFonts w:ascii="宋体" w:hAnsi="宋体" w:eastAsia="宋体"/>
          <w:sz w:val="24"/>
        </w:rPr>
      </w:pPr>
      <w:r>
        <w:rPr>
          <w:rFonts w:hint="eastAsia" w:ascii="宋体" w:hAnsi="宋体" w:eastAsia="宋体"/>
          <w:sz w:val="24"/>
        </w:rPr>
        <w:t>结合主视觉场内、外布展物料</w:t>
      </w:r>
    </w:p>
    <w:p>
      <w:pPr>
        <w:spacing w:line="480" w:lineRule="auto"/>
      </w:pPr>
      <w:r>
        <w:rPr>
          <w:rFonts w:hint="eastAsia"/>
        </w:rPr>
        <w:t>3．其他物料</w:t>
      </w:r>
    </w:p>
    <w:p>
      <w:pPr>
        <w:spacing w:line="480" w:lineRule="auto"/>
        <w:ind w:firstLine="480" w:firstLineChars="200"/>
      </w:pPr>
      <w:r>
        <w:rPr>
          <w:rFonts w:hint="eastAsia"/>
        </w:rPr>
        <w:t>能配合实现现场常规及非常规物料的制作（例如：入场凭证）</w:t>
      </w:r>
    </w:p>
    <w:p>
      <w:pPr>
        <w:pStyle w:val="61"/>
        <w:numPr>
          <w:ilvl w:val="0"/>
          <w:numId w:val="24"/>
        </w:numPr>
        <w:spacing w:line="480" w:lineRule="auto"/>
        <w:ind w:firstLineChars="0"/>
        <w:jc w:val="left"/>
        <w:rPr>
          <w:rFonts w:ascii="宋体" w:hAnsi="宋体" w:eastAsia="宋体"/>
          <w:b/>
          <w:sz w:val="24"/>
        </w:rPr>
      </w:pPr>
      <w:r>
        <w:rPr>
          <w:rFonts w:hint="eastAsia" w:ascii="宋体" w:hAnsi="宋体" w:eastAsia="宋体"/>
          <w:b/>
          <w:sz w:val="24"/>
        </w:rPr>
        <w:t>拍摄需求</w:t>
      </w:r>
    </w:p>
    <w:p>
      <w:pPr>
        <w:pStyle w:val="61"/>
        <w:numPr>
          <w:ilvl w:val="0"/>
          <w:numId w:val="25"/>
        </w:numPr>
        <w:spacing w:line="480" w:lineRule="auto"/>
        <w:ind w:firstLineChars="0"/>
        <w:jc w:val="left"/>
        <w:rPr>
          <w:rFonts w:ascii="宋体" w:hAnsi="宋体" w:eastAsia="宋体"/>
          <w:sz w:val="24"/>
        </w:rPr>
      </w:pPr>
      <w:r>
        <w:rPr>
          <w:rFonts w:hint="eastAsia" w:ascii="宋体" w:hAnsi="宋体" w:eastAsia="宋体"/>
          <w:sz w:val="24"/>
        </w:rPr>
        <w:t>摄像</w:t>
      </w:r>
    </w:p>
    <w:p>
      <w:pPr>
        <w:pStyle w:val="61"/>
        <w:numPr>
          <w:ilvl w:val="0"/>
          <w:numId w:val="26"/>
        </w:numPr>
        <w:spacing w:line="480" w:lineRule="auto"/>
        <w:ind w:left="1134" w:hanging="708" w:firstLineChars="0"/>
        <w:jc w:val="left"/>
        <w:rPr>
          <w:rFonts w:ascii="宋体" w:hAnsi="宋体" w:eastAsia="宋体"/>
          <w:sz w:val="24"/>
        </w:rPr>
      </w:pPr>
      <w:r>
        <w:rPr>
          <w:rFonts w:hint="eastAsia" w:ascii="宋体" w:hAnsi="宋体" w:eastAsia="宋体"/>
          <w:sz w:val="24"/>
        </w:rPr>
        <w:t xml:space="preserve">颁奖晚宴直播 </w:t>
      </w:r>
    </w:p>
    <w:p>
      <w:pPr>
        <w:pStyle w:val="61"/>
        <w:numPr>
          <w:ilvl w:val="0"/>
          <w:numId w:val="26"/>
        </w:numPr>
        <w:spacing w:line="480" w:lineRule="auto"/>
        <w:ind w:left="1134" w:hanging="708" w:firstLineChars="0"/>
        <w:jc w:val="left"/>
        <w:rPr>
          <w:rFonts w:ascii="宋体" w:hAnsi="宋体" w:eastAsia="宋体"/>
          <w:sz w:val="24"/>
        </w:rPr>
      </w:pPr>
      <w:r>
        <w:rPr>
          <w:rFonts w:hint="eastAsia" w:ascii="宋体" w:hAnsi="宋体" w:eastAsia="宋体"/>
          <w:sz w:val="24"/>
        </w:rPr>
        <w:t>活动中影像视频记录、传播版本的制作摄像</w:t>
      </w:r>
    </w:p>
    <w:p>
      <w:pPr>
        <w:pStyle w:val="61"/>
        <w:numPr>
          <w:ilvl w:val="0"/>
          <w:numId w:val="25"/>
        </w:numPr>
        <w:spacing w:line="480" w:lineRule="auto"/>
        <w:ind w:firstLineChars="0"/>
        <w:rPr>
          <w:rFonts w:ascii="宋体" w:hAnsi="宋体" w:eastAsia="宋体"/>
          <w:sz w:val="24"/>
        </w:rPr>
      </w:pPr>
      <w:r>
        <w:rPr>
          <w:rFonts w:hint="eastAsia" w:ascii="宋体" w:hAnsi="宋体" w:eastAsia="宋体"/>
          <w:sz w:val="24"/>
        </w:rPr>
        <w:t>摄影：颁奖图片直播</w:t>
      </w:r>
    </w:p>
    <w:p>
      <w:pPr>
        <w:pStyle w:val="61"/>
        <w:numPr>
          <w:ilvl w:val="0"/>
          <w:numId w:val="24"/>
        </w:numPr>
        <w:spacing w:line="480" w:lineRule="auto"/>
        <w:ind w:firstLineChars="0"/>
        <w:jc w:val="left"/>
        <w:rPr>
          <w:rFonts w:ascii="宋体" w:hAnsi="宋体" w:eastAsia="宋体"/>
          <w:b/>
          <w:sz w:val="24"/>
        </w:rPr>
      </w:pPr>
      <w:r>
        <w:rPr>
          <w:rFonts w:hint="eastAsia" w:ascii="宋体" w:hAnsi="宋体" w:eastAsia="宋体"/>
          <w:b/>
          <w:sz w:val="24"/>
        </w:rPr>
        <w:t>场地搭建需求</w:t>
      </w:r>
    </w:p>
    <w:p>
      <w:pPr>
        <w:pStyle w:val="61"/>
        <w:numPr>
          <w:ilvl w:val="0"/>
          <w:numId w:val="27"/>
        </w:numPr>
        <w:spacing w:line="480" w:lineRule="auto"/>
        <w:ind w:firstLineChars="0"/>
        <w:jc w:val="left"/>
        <w:rPr>
          <w:rFonts w:ascii="宋体" w:hAnsi="宋体" w:eastAsia="宋体"/>
          <w:sz w:val="24"/>
        </w:rPr>
      </w:pPr>
      <w:r>
        <w:rPr>
          <w:rFonts w:hint="eastAsia" w:ascii="宋体" w:hAnsi="宋体" w:eastAsia="宋体"/>
          <w:sz w:val="24"/>
        </w:rPr>
        <w:t>舞台搭建</w:t>
      </w:r>
    </w:p>
    <w:p>
      <w:pPr>
        <w:pStyle w:val="61"/>
        <w:numPr>
          <w:ilvl w:val="0"/>
          <w:numId w:val="27"/>
        </w:numPr>
        <w:spacing w:line="480" w:lineRule="auto"/>
        <w:ind w:firstLineChars="0"/>
        <w:jc w:val="left"/>
        <w:rPr>
          <w:rFonts w:ascii="宋体" w:hAnsi="宋体" w:eastAsia="宋体"/>
          <w:sz w:val="24"/>
        </w:rPr>
      </w:pPr>
      <w:r>
        <w:rPr>
          <w:rFonts w:hint="eastAsia" w:ascii="宋体" w:hAnsi="宋体" w:eastAsia="宋体"/>
          <w:sz w:val="24"/>
        </w:rPr>
        <w:t>LED屏幕</w:t>
      </w:r>
    </w:p>
    <w:p>
      <w:pPr>
        <w:pStyle w:val="61"/>
        <w:numPr>
          <w:ilvl w:val="0"/>
          <w:numId w:val="24"/>
        </w:numPr>
        <w:spacing w:line="480" w:lineRule="auto"/>
        <w:ind w:firstLineChars="0"/>
        <w:jc w:val="left"/>
        <w:rPr>
          <w:rFonts w:ascii="宋体" w:hAnsi="宋体" w:eastAsia="宋体"/>
          <w:b/>
          <w:sz w:val="24"/>
        </w:rPr>
      </w:pPr>
      <w:r>
        <w:rPr>
          <w:rFonts w:hint="eastAsia" w:ascii="宋体" w:hAnsi="宋体" w:eastAsia="宋体"/>
          <w:b/>
          <w:sz w:val="24"/>
        </w:rPr>
        <w:t>节目需求</w:t>
      </w:r>
    </w:p>
    <w:p>
      <w:pPr>
        <w:spacing w:line="480" w:lineRule="auto"/>
      </w:pPr>
      <w:r>
        <w:rPr>
          <w:rFonts w:hint="eastAsia"/>
        </w:rPr>
        <w:t>烘托颁奖氛围，具有艺术特色，观赏性高的节目演出（演出时长3-5分钟，数量：2个节目）</w:t>
      </w:r>
    </w:p>
    <w:p>
      <w:pPr>
        <w:spacing w:line="480" w:lineRule="auto"/>
        <w:rPr>
          <w:b/>
        </w:rPr>
      </w:pPr>
      <w:r>
        <w:rPr>
          <w:rFonts w:hint="eastAsia"/>
          <w:b/>
        </w:rPr>
        <w:t>注：评标现场需展示及提供以下内容</w:t>
      </w:r>
    </w:p>
    <w:p>
      <w:pPr>
        <w:pStyle w:val="61"/>
        <w:numPr>
          <w:ilvl w:val="0"/>
          <w:numId w:val="28"/>
        </w:numPr>
        <w:spacing w:line="480" w:lineRule="auto"/>
        <w:ind w:firstLineChars="0"/>
        <w:jc w:val="left"/>
        <w:rPr>
          <w:rFonts w:ascii="宋体" w:hAnsi="宋体" w:eastAsia="宋体"/>
          <w:sz w:val="24"/>
        </w:rPr>
      </w:pPr>
      <w:r>
        <w:rPr>
          <w:rFonts w:hint="eastAsia" w:ascii="宋体" w:hAnsi="宋体" w:eastAsia="宋体"/>
          <w:sz w:val="24"/>
        </w:rPr>
        <w:t>会议主题及主视觉展示；</w:t>
      </w:r>
    </w:p>
    <w:p>
      <w:pPr>
        <w:pStyle w:val="61"/>
        <w:numPr>
          <w:ilvl w:val="0"/>
          <w:numId w:val="28"/>
        </w:numPr>
        <w:spacing w:line="480" w:lineRule="auto"/>
        <w:ind w:firstLineChars="0"/>
        <w:jc w:val="left"/>
        <w:rPr>
          <w:rFonts w:ascii="宋体" w:hAnsi="宋体" w:eastAsia="宋体"/>
          <w:sz w:val="24"/>
        </w:rPr>
      </w:pPr>
      <w:r>
        <w:rPr>
          <w:rFonts w:hint="eastAsia" w:ascii="宋体" w:hAnsi="宋体" w:eastAsia="宋体"/>
          <w:sz w:val="24"/>
        </w:rPr>
        <w:t>电子物料及实体物料均需提供图片展示；</w:t>
      </w:r>
    </w:p>
    <w:p>
      <w:pPr>
        <w:pStyle w:val="61"/>
        <w:numPr>
          <w:ilvl w:val="0"/>
          <w:numId w:val="28"/>
        </w:numPr>
        <w:spacing w:line="480" w:lineRule="auto"/>
        <w:ind w:firstLineChars="0"/>
        <w:jc w:val="left"/>
        <w:rPr>
          <w:rFonts w:ascii="宋体" w:hAnsi="宋体" w:eastAsia="宋体"/>
          <w:sz w:val="24"/>
        </w:rPr>
      </w:pPr>
      <w:r>
        <w:rPr>
          <w:rFonts w:hint="eastAsia" w:ascii="宋体" w:hAnsi="宋体" w:eastAsia="宋体"/>
          <w:sz w:val="24"/>
        </w:rPr>
        <w:t>会议现场搭建及场内外布置需以3D效果形式展示；</w:t>
      </w:r>
    </w:p>
    <w:p>
      <w:pPr>
        <w:pStyle w:val="61"/>
        <w:numPr>
          <w:ilvl w:val="0"/>
          <w:numId w:val="28"/>
        </w:numPr>
        <w:spacing w:line="480" w:lineRule="auto"/>
        <w:ind w:firstLineChars="0"/>
        <w:jc w:val="left"/>
        <w:rPr>
          <w:rFonts w:ascii="宋体" w:hAnsi="宋体" w:eastAsia="宋体"/>
          <w:sz w:val="24"/>
        </w:rPr>
      </w:pPr>
      <w:r>
        <w:rPr>
          <w:rFonts w:ascii="宋体" w:hAnsi="宋体" w:eastAsia="宋体"/>
          <w:sz w:val="24"/>
        </w:rPr>
        <w:t>其他活动合作案例</w:t>
      </w:r>
      <w:r>
        <w:rPr>
          <w:rFonts w:hint="eastAsia" w:ascii="宋体" w:hAnsi="宋体" w:eastAsia="宋体"/>
          <w:sz w:val="24"/>
        </w:rPr>
        <w:t>展示（不限于展示设计、场地搭建、活动记录视频等）</w:t>
      </w:r>
    </w:p>
    <w:p>
      <w:pPr>
        <w:pStyle w:val="61"/>
        <w:numPr>
          <w:ilvl w:val="0"/>
          <w:numId w:val="28"/>
        </w:numPr>
        <w:spacing w:line="480" w:lineRule="auto"/>
        <w:ind w:firstLineChars="0"/>
        <w:jc w:val="left"/>
        <w:rPr>
          <w:rFonts w:ascii="宋体" w:hAnsi="宋体" w:eastAsia="宋体"/>
          <w:sz w:val="24"/>
        </w:rPr>
      </w:pPr>
      <w:r>
        <w:rPr>
          <w:rFonts w:ascii="宋体" w:hAnsi="宋体" w:eastAsia="宋体"/>
          <w:sz w:val="24"/>
        </w:rPr>
        <w:t>其他</w:t>
      </w:r>
      <w:r>
        <w:rPr>
          <w:rFonts w:hint="eastAsia" w:ascii="宋体" w:hAnsi="宋体" w:eastAsia="宋体"/>
          <w:sz w:val="24"/>
        </w:rPr>
        <w:t>可</w:t>
      </w:r>
      <w:r>
        <w:rPr>
          <w:rFonts w:ascii="宋体" w:hAnsi="宋体" w:eastAsia="宋体"/>
          <w:sz w:val="24"/>
        </w:rPr>
        <w:t>提供服务</w:t>
      </w:r>
      <w:r>
        <w:rPr>
          <w:rFonts w:hint="eastAsia" w:ascii="宋体" w:hAnsi="宋体" w:eastAsia="宋体"/>
          <w:sz w:val="24"/>
        </w:rPr>
        <w:t>。</w:t>
      </w:r>
    </w:p>
    <w:p>
      <w:pPr>
        <w:pStyle w:val="61"/>
        <w:spacing w:line="560" w:lineRule="exact"/>
        <w:ind w:firstLine="640"/>
        <w:rPr>
          <w:rFonts w:ascii="仿宋_GB2312" w:hAnsi="楷体" w:eastAsia="仿宋_GB2312" w:cs="仿宋_GB2312"/>
          <w:kern w:val="0"/>
          <w:sz w:val="32"/>
          <w:szCs w:val="32"/>
        </w:rPr>
      </w:pPr>
    </w:p>
    <w:p>
      <w:pPr>
        <w:rPr>
          <w:b/>
        </w:rPr>
      </w:pPr>
      <w:r>
        <w:rPr>
          <w:b/>
        </w:rPr>
        <w:br w:type="page"/>
      </w:r>
    </w:p>
    <w:p>
      <w:pPr>
        <w:pStyle w:val="21"/>
        <w:tabs>
          <w:tab w:val="left" w:pos="2291"/>
        </w:tabs>
        <w:spacing w:before="79" w:line="540" w:lineRule="exact"/>
        <w:jc w:val="center"/>
        <w:outlineLvl w:val="0"/>
        <w:rPr>
          <w:rFonts w:hAnsi="宋体" w:eastAsia="宋体"/>
          <w:b/>
          <w:sz w:val="28"/>
          <w:szCs w:val="28"/>
        </w:rPr>
      </w:pPr>
      <w:bookmarkStart w:id="90" w:name="_Toc79067229"/>
      <w:r>
        <w:rPr>
          <w:rFonts w:hint="eastAsia" w:hAnsi="宋体" w:eastAsia="宋体"/>
          <w:b/>
          <w:sz w:val="28"/>
          <w:szCs w:val="28"/>
        </w:rPr>
        <w:t>第六部分</w:t>
      </w:r>
      <w:r>
        <w:rPr>
          <w:rFonts w:hAnsi="宋体" w:eastAsia="宋体"/>
          <w:b/>
          <w:sz w:val="28"/>
          <w:szCs w:val="28"/>
        </w:rPr>
        <w:t xml:space="preserve">  </w:t>
      </w:r>
      <w:bookmarkEnd w:id="86"/>
      <w:r>
        <w:rPr>
          <w:rFonts w:hint="eastAsia" w:hAnsi="宋体" w:eastAsia="宋体"/>
          <w:b/>
          <w:sz w:val="28"/>
          <w:szCs w:val="28"/>
        </w:rPr>
        <w:t>响应文件</w:t>
      </w:r>
      <w:bookmarkEnd w:id="87"/>
      <w:r>
        <w:rPr>
          <w:rFonts w:hint="eastAsia" w:hAnsi="宋体" w:eastAsia="宋体"/>
          <w:b/>
          <w:sz w:val="28"/>
          <w:szCs w:val="28"/>
        </w:rPr>
        <w:t>格式</w:t>
      </w:r>
      <w:bookmarkEnd w:id="90"/>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响应文件格式</w:t>
      </w:r>
    </w:p>
    <w:p>
      <w:pPr>
        <w:jc w:val="right"/>
        <w:rPr>
          <w:sz w:val="32"/>
          <w:szCs w:val="32"/>
        </w:rPr>
      </w:pPr>
    </w:p>
    <w:p>
      <w:pPr>
        <w:jc w:val="right"/>
      </w:pPr>
      <w:r>
        <w:rPr>
          <w:rFonts w:hint="eastAsia"/>
          <w:sz w:val="32"/>
          <w:szCs w:val="32"/>
        </w:rPr>
        <w:t>正本或副本</w:t>
      </w:r>
    </w:p>
    <w:p/>
    <w:p>
      <w:pPr>
        <w:tabs>
          <w:tab w:val="left" w:pos="6120"/>
        </w:tabs>
        <w:jc w:val="center"/>
        <w:rPr>
          <w:sz w:val="20"/>
          <w:szCs w:val="20"/>
        </w:rPr>
      </w:pPr>
      <w:r>
        <w:rPr>
          <w:rFonts w:hint="eastAsia"/>
          <w:sz w:val="28"/>
          <w:szCs w:val="28"/>
        </w:rPr>
        <w:t xml:space="preserve">  </w:t>
      </w:r>
      <w:r>
        <w:rPr>
          <w:rFonts w:hint="eastAsia"/>
          <w:sz w:val="28"/>
          <w:szCs w:val="28"/>
          <w:u w:val="single"/>
        </w:rPr>
        <w:t xml:space="preserve">                                 </w:t>
      </w:r>
      <w:bookmarkStart w:id="91" w:name="_Toc20212"/>
      <w:r>
        <w:rPr>
          <w:rFonts w:hint="eastAsia"/>
          <w:sz w:val="28"/>
          <w:szCs w:val="28"/>
        </w:rPr>
        <w:t>（项目名称）</w:t>
      </w:r>
      <w:bookmarkEnd w:id="91"/>
    </w:p>
    <w:p>
      <w:pPr>
        <w:jc w:val="center"/>
        <w:rPr>
          <w:sz w:val="20"/>
          <w:szCs w:val="20"/>
        </w:rPr>
      </w:pPr>
    </w:p>
    <w:p>
      <w:pPr>
        <w:rPr>
          <w:sz w:val="20"/>
          <w:szCs w:val="20"/>
        </w:rPr>
      </w:pPr>
    </w:p>
    <w:p>
      <w:pPr>
        <w:jc w:val="center"/>
        <w:rPr>
          <w:sz w:val="44"/>
          <w:szCs w:val="44"/>
        </w:rPr>
      </w:pPr>
      <w:r>
        <w:rPr>
          <w:rFonts w:hint="eastAsia"/>
          <w:sz w:val="32"/>
          <w:szCs w:val="32"/>
        </w:rPr>
        <w:t xml:space="preserve">                                          </w:t>
      </w:r>
    </w:p>
    <w:p>
      <w:pPr>
        <w:spacing w:before="326" w:beforeLines="100"/>
        <w:jc w:val="center"/>
        <w:rPr>
          <w:b/>
          <w:sz w:val="32"/>
          <w:szCs w:val="32"/>
        </w:rPr>
      </w:pPr>
      <w:r>
        <w:rPr>
          <w:rFonts w:hint="eastAsia"/>
          <w:b/>
          <w:sz w:val="52"/>
          <w:szCs w:val="52"/>
        </w:rPr>
        <w:t xml:space="preserve">响 </w:t>
      </w:r>
      <w:r>
        <w:rPr>
          <w:b/>
          <w:sz w:val="52"/>
          <w:szCs w:val="52"/>
        </w:rPr>
        <w:t xml:space="preserve">  </w:t>
      </w:r>
      <w:r>
        <w:rPr>
          <w:rFonts w:hint="eastAsia"/>
          <w:b/>
          <w:sz w:val="52"/>
          <w:szCs w:val="52"/>
        </w:rPr>
        <w:t>应  文  件</w:t>
      </w:r>
    </w:p>
    <w:p>
      <w:pPr>
        <w:jc w:val="center"/>
        <w:rPr>
          <w:sz w:val="28"/>
          <w:szCs w:val="28"/>
        </w:rPr>
      </w:pPr>
      <w:r>
        <w:rPr>
          <w:rFonts w:hint="eastAsia"/>
          <w:sz w:val="28"/>
          <w:szCs w:val="28"/>
        </w:rPr>
        <w:t>（项目编号：</w:t>
      </w:r>
      <w:r>
        <w:rPr>
          <w:sz w:val="28"/>
          <w:szCs w:val="28"/>
        </w:rPr>
        <w:t>0722-2023FE0251YYO</w:t>
      </w:r>
      <w:r>
        <w:rPr>
          <w:rFonts w:hint="eastAsia"/>
          <w:sz w:val="28"/>
          <w:szCs w:val="28"/>
        </w:rPr>
        <w:t>）</w:t>
      </w:r>
    </w:p>
    <w:p>
      <w:pPr>
        <w:rPr>
          <w:sz w:val="28"/>
          <w:szCs w:val="28"/>
        </w:rPr>
      </w:pPr>
    </w:p>
    <w:p>
      <w:pPr>
        <w:rPr>
          <w:sz w:val="28"/>
          <w:szCs w:val="28"/>
        </w:rPr>
      </w:pPr>
    </w:p>
    <w:p>
      <w:pPr>
        <w:rPr>
          <w:sz w:val="28"/>
          <w:szCs w:val="28"/>
        </w:rPr>
      </w:pPr>
    </w:p>
    <w:p>
      <w:pPr>
        <w:rPr>
          <w:sz w:val="28"/>
          <w:szCs w:val="28"/>
        </w:rPr>
      </w:pPr>
    </w:p>
    <w:p>
      <w:pPr>
        <w:spacing w:line="360" w:lineRule="auto"/>
        <w:ind w:firstLine="1680" w:firstLineChars="600"/>
        <w:rPr>
          <w:sz w:val="28"/>
          <w:szCs w:val="28"/>
        </w:rPr>
      </w:pPr>
      <w:r>
        <w:rPr>
          <w:rFonts w:hint="eastAsia"/>
          <w:sz w:val="28"/>
          <w:szCs w:val="28"/>
        </w:rPr>
        <w:t xml:space="preserve">  </w:t>
      </w:r>
    </w:p>
    <w:p>
      <w:pPr>
        <w:spacing w:line="360" w:lineRule="auto"/>
        <w:ind w:firstLine="560" w:firstLineChars="200"/>
        <w:rPr>
          <w:sz w:val="28"/>
          <w:szCs w:val="28"/>
          <w:u w:val="single"/>
        </w:rPr>
      </w:pPr>
      <w:r>
        <w:rPr>
          <w:rFonts w:hint="eastAsia"/>
          <w:sz w:val="28"/>
          <w:szCs w:val="28"/>
        </w:rPr>
        <w:t xml:space="preserve">    </w:t>
      </w:r>
    </w:p>
    <w:p>
      <w:pPr>
        <w:spacing w:line="360" w:lineRule="auto"/>
        <w:ind w:firstLine="1680" w:firstLineChars="600"/>
        <w:rPr>
          <w:sz w:val="28"/>
          <w:szCs w:val="28"/>
        </w:rPr>
      </w:pPr>
      <w:r>
        <w:rPr>
          <w:rFonts w:hint="eastAsia"/>
          <w:sz w:val="28"/>
          <w:szCs w:val="28"/>
        </w:rPr>
        <w:t>供应商名称：</w:t>
      </w:r>
      <w:r>
        <w:rPr>
          <w:rFonts w:hint="eastAsia"/>
          <w:sz w:val="28"/>
          <w:szCs w:val="28"/>
          <w:u w:val="single"/>
        </w:rPr>
        <w:t xml:space="preserve">                       </w:t>
      </w:r>
      <w:r>
        <w:rPr>
          <w:rFonts w:hint="eastAsia"/>
          <w:sz w:val="28"/>
          <w:szCs w:val="28"/>
        </w:rPr>
        <w:t>（盖单位章）</w:t>
      </w:r>
    </w:p>
    <w:p>
      <w:pPr>
        <w:spacing w:line="360" w:lineRule="auto"/>
        <w:jc w:val="center"/>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p>
    <w:p>
      <w:pPr>
        <w:spacing w:line="360" w:lineRule="auto"/>
        <w:jc w:val="center"/>
        <w:rPr>
          <w:szCs w:val="21"/>
          <w:u w:val="single"/>
        </w:rPr>
      </w:pPr>
    </w:p>
    <w:p>
      <w:pPr>
        <w:spacing w:line="360" w:lineRule="auto"/>
        <w:jc w:val="center"/>
        <w:rPr>
          <w:sz w:val="28"/>
          <w:szCs w:val="28"/>
        </w:rPr>
      </w:pPr>
      <w:r>
        <w:rPr>
          <w:rFonts w:hint="eastAsia"/>
          <w:szCs w:val="21"/>
          <w:u w:val="single"/>
        </w:rPr>
        <w:t xml:space="preserve">         </w:t>
      </w:r>
      <w:bookmarkStart w:id="92" w:name="_Toc28010"/>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92"/>
    </w:p>
    <w:p>
      <w:pPr>
        <w:pStyle w:val="2"/>
        <w:rPr>
          <w:color w:val="auto"/>
        </w:rPr>
      </w:pPr>
    </w:p>
    <w:p>
      <w:pPr>
        <w:pStyle w:val="3"/>
      </w:pPr>
    </w:p>
    <w:p>
      <w:pPr>
        <w:pStyle w:val="3"/>
      </w:pPr>
    </w:p>
    <w:p>
      <w:pPr>
        <w:jc w:val="center"/>
        <w:outlineLvl w:val="1"/>
        <w:rPr>
          <w:b/>
          <w:bCs/>
          <w:sz w:val="28"/>
          <w:szCs w:val="28"/>
        </w:rPr>
      </w:pPr>
      <w:bookmarkStart w:id="93" w:name="_Toc26187"/>
      <w:r>
        <w:rPr>
          <w:rFonts w:hint="eastAsia"/>
          <w:b/>
          <w:bCs/>
          <w:sz w:val="28"/>
          <w:szCs w:val="28"/>
        </w:rPr>
        <w:t>目   录（供应商自行编制页码）</w:t>
      </w:r>
      <w:bookmarkEnd w:id="93"/>
    </w:p>
    <w:p>
      <w:pPr>
        <w:spacing w:line="500" w:lineRule="exact"/>
        <w:ind w:left="420"/>
      </w:pPr>
    </w:p>
    <w:p>
      <w:pPr>
        <w:spacing w:line="360" w:lineRule="auto"/>
        <w:contextualSpacing/>
      </w:pPr>
      <w:bookmarkStart w:id="94" w:name="_Toc11716"/>
      <w:r>
        <w:rPr>
          <w:rFonts w:hint="eastAsia"/>
        </w:rPr>
        <w:t>一、响应函</w:t>
      </w:r>
      <w:bookmarkEnd w:id="94"/>
    </w:p>
    <w:p>
      <w:pPr>
        <w:spacing w:line="360" w:lineRule="auto"/>
        <w:contextualSpacing/>
      </w:pPr>
      <w:bookmarkStart w:id="95" w:name="_Toc22313"/>
      <w:r>
        <w:rPr>
          <w:rFonts w:hint="eastAsia"/>
        </w:rPr>
        <w:t>二、</w:t>
      </w:r>
      <w:bookmarkEnd w:id="95"/>
      <w:r>
        <w:rPr>
          <w:rFonts w:hint="eastAsia"/>
        </w:rPr>
        <w:t>法定代表人身份证明书</w:t>
      </w:r>
    </w:p>
    <w:p>
      <w:pPr>
        <w:spacing w:line="360" w:lineRule="auto"/>
        <w:contextualSpacing/>
      </w:pPr>
      <w:bookmarkStart w:id="96" w:name="_Toc14397"/>
      <w:r>
        <w:rPr>
          <w:rFonts w:hint="eastAsia"/>
        </w:rPr>
        <w:t>三、法定代表人授权委托书</w:t>
      </w:r>
      <w:bookmarkEnd w:id="96"/>
    </w:p>
    <w:p>
      <w:pPr>
        <w:spacing w:line="360" w:lineRule="auto"/>
        <w:contextualSpacing/>
        <w:rPr>
          <w:color w:val="FF0000"/>
        </w:rPr>
      </w:pPr>
      <w:bookmarkStart w:id="97" w:name="_Toc10027"/>
      <w:r>
        <w:rPr>
          <w:rFonts w:hint="eastAsia"/>
        </w:rPr>
        <w:t>四、</w:t>
      </w:r>
      <w:bookmarkEnd w:id="97"/>
      <w:r>
        <w:rPr>
          <w:rFonts w:hint="eastAsia"/>
        </w:rPr>
        <w:t>谈判保证金缴纳证明</w:t>
      </w:r>
    </w:p>
    <w:p>
      <w:pPr>
        <w:spacing w:line="360" w:lineRule="auto"/>
        <w:contextualSpacing/>
      </w:pPr>
      <w:bookmarkStart w:id="98" w:name="_Toc26127"/>
      <w:r>
        <w:rPr>
          <w:rFonts w:hint="eastAsia"/>
        </w:rPr>
        <w:t>五、</w:t>
      </w:r>
      <w:bookmarkEnd w:id="98"/>
      <w:r>
        <w:rPr>
          <w:rFonts w:hint="eastAsia"/>
        </w:rPr>
        <w:t>报价单</w:t>
      </w:r>
    </w:p>
    <w:p>
      <w:pPr>
        <w:spacing w:line="360" w:lineRule="auto"/>
        <w:contextualSpacing/>
      </w:pPr>
      <w:bookmarkStart w:id="99" w:name="_Toc817"/>
      <w:r>
        <w:rPr>
          <w:rFonts w:hint="eastAsia"/>
        </w:rPr>
        <w:t>六、供应商基本情况表</w:t>
      </w:r>
      <w:bookmarkEnd w:id="99"/>
    </w:p>
    <w:p>
      <w:pPr>
        <w:spacing w:line="360" w:lineRule="auto"/>
        <w:contextualSpacing/>
      </w:pPr>
      <w:bookmarkStart w:id="100" w:name="_Toc19511"/>
      <w:r>
        <w:rPr>
          <w:rFonts w:hint="eastAsia"/>
        </w:rPr>
        <w:t>七、资格审查资料</w:t>
      </w:r>
      <w:bookmarkEnd w:id="100"/>
    </w:p>
    <w:p>
      <w:pPr>
        <w:spacing w:line="360" w:lineRule="auto"/>
        <w:contextualSpacing/>
      </w:pPr>
      <w:bookmarkStart w:id="101" w:name="_Toc26742"/>
      <w:r>
        <w:rPr>
          <w:rFonts w:hint="eastAsia"/>
        </w:rPr>
        <w:t>八、</w:t>
      </w:r>
      <w:bookmarkEnd w:id="101"/>
      <w:r>
        <w:rPr>
          <w:rFonts w:hint="eastAsia"/>
        </w:rPr>
        <w:t>人员配备情况</w:t>
      </w:r>
    </w:p>
    <w:p>
      <w:pPr>
        <w:pStyle w:val="2"/>
        <w:spacing w:line="360" w:lineRule="auto"/>
        <w:contextualSpacing/>
        <w:rPr>
          <w:color w:val="auto"/>
        </w:rPr>
      </w:pPr>
      <w:r>
        <w:rPr>
          <w:rFonts w:hint="eastAsia"/>
          <w:color w:val="auto"/>
        </w:rPr>
        <w:t>九、业绩</w:t>
      </w:r>
    </w:p>
    <w:p>
      <w:pPr>
        <w:spacing w:line="360" w:lineRule="auto"/>
        <w:contextualSpacing/>
      </w:pPr>
      <w:bookmarkStart w:id="102" w:name="_Toc6710"/>
      <w:r>
        <w:rPr>
          <w:rFonts w:hint="eastAsia"/>
        </w:rPr>
        <w:t>十、商务偏差表</w:t>
      </w:r>
      <w:bookmarkEnd w:id="102"/>
    </w:p>
    <w:p>
      <w:pPr>
        <w:spacing w:line="360" w:lineRule="auto"/>
        <w:contextualSpacing/>
      </w:pPr>
      <w:bookmarkStart w:id="103" w:name="_Toc27691"/>
      <w:r>
        <w:rPr>
          <w:rFonts w:hint="eastAsia"/>
        </w:rPr>
        <w:t>十一、技术偏差表</w:t>
      </w:r>
      <w:bookmarkEnd w:id="103"/>
    </w:p>
    <w:p>
      <w:pPr>
        <w:spacing w:line="360" w:lineRule="auto"/>
        <w:contextualSpacing/>
      </w:pPr>
      <w:bookmarkStart w:id="104" w:name="_Toc4258"/>
      <w:r>
        <w:rPr>
          <w:rFonts w:hint="eastAsia"/>
        </w:rPr>
        <w:t>十二、服务方案</w:t>
      </w:r>
      <w:bookmarkEnd w:id="104"/>
    </w:p>
    <w:p>
      <w:pPr>
        <w:spacing w:line="360" w:lineRule="auto"/>
        <w:contextualSpacing/>
      </w:pPr>
      <w:bookmarkStart w:id="105" w:name="_Toc13561"/>
      <w:r>
        <w:rPr>
          <w:rFonts w:hint="eastAsia"/>
        </w:rPr>
        <w:t>十三、供应商认为应提供的其他材料。</w:t>
      </w:r>
      <w:bookmarkEnd w:id="105"/>
    </w:p>
    <w:p>
      <w:pPr>
        <w:pStyle w:val="2"/>
        <w:rPr>
          <w:rFonts w:hAnsi="宋体"/>
          <w:color w:val="auto"/>
        </w:rPr>
      </w:pPr>
    </w:p>
    <w:p>
      <w:pPr>
        <w:spacing w:line="500" w:lineRule="exact"/>
        <w:ind w:left="420"/>
        <w:rPr>
          <w:szCs w:val="21"/>
        </w:rPr>
      </w:pPr>
      <w:r>
        <w:rPr>
          <w:rFonts w:hint="eastAsia"/>
          <w:szCs w:val="21"/>
        </w:rPr>
        <w:t>注：上述目录内容，采购人根据项目特点自行设定分册</w:t>
      </w:r>
      <w:r>
        <w:rPr>
          <w:rFonts w:hint="eastAsia"/>
          <w:b/>
          <w:bCs/>
          <w:szCs w:val="21"/>
        </w:rPr>
        <w:t>目录及页码</w:t>
      </w:r>
    </w:p>
    <w:p>
      <w:pPr>
        <w:autoSpaceDE w:val="0"/>
        <w:autoSpaceDN w:val="0"/>
        <w:adjustRightInd w:val="0"/>
        <w:spacing w:before="2" w:line="540" w:lineRule="exact"/>
        <w:ind w:right="286"/>
        <w:jc w:val="center"/>
        <w:rPr>
          <w:b/>
          <w:sz w:val="28"/>
          <w:szCs w:val="28"/>
        </w:rPr>
      </w:pPr>
    </w:p>
    <w:p>
      <w:pPr>
        <w:autoSpaceDE w:val="0"/>
        <w:autoSpaceDN w:val="0"/>
        <w:adjustRightInd w:val="0"/>
        <w:spacing w:before="2" w:line="540" w:lineRule="exact"/>
        <w:ind w:right="286"/>
        <w:jc w:val="center"/>
        <w:rPr>
          <w:b/>
          <w:sz w:val="28"/>
          <w:szCs w:val="28"/>
        </w:rPr>
      </w:pPr>
    </w:p>
    <w:p>
      <w:pPr>
        <w:autoSpaceDE w:val="0"/>
        <w:autoSpaceDN w:val="0"/>
        <w:adjustRightInd w:val="0"/>
        <w:spacing w:before="2" w:line="540" w:lineRule="exact"/>
        <w:ind w:right="286"/>
        <w:jc w:val="center"/>
        <w:rPr>
          <w:b/>
          <w:sz w:val="28"/>
          <w:szCs w:val="28"/>
        </w:rPr>
      </w:pPr>
    </w:p>
    <w:p>
      <w:pPr>
        <w:rPr>
          <w:b/>
          <w:sz w:val="28"/>
          <w:szCs w:val="28"/>
        </w:rPr>
      </w:pPr>
      <w:r>
        <w:rPr>
          <w:b/>
          <w:sz w:val="28"/>
          <w:szCs w:val="28"/>
        </w:rPr>
        <w:br w:type="page"/>
      </w:r>
    </w:p>
    <w:p>
      <w:pPr>
        <w:jc w:val="center"/>
        <w:outlineLvl w:val="1"/>
        <w:rPr>
          <w:b/>
          <w:bCs/>
          <w:sz w:val="28"/>
          <w:szCs w:val="28"/>
        </w:rPr>
      </w:pPr>
      <w:bookmarkStart w:id="106" w:name="_Toc28995"/>
      <w:r>
        <w:rPr>
          <w:rFonts w:hint="eastAsia"/>
          <w:b/>
          <w:bCs/>
          <w:sz w:val="28"/>
          <w:szCs w:val="28"/>
        </w:rPr>
        <w:t>一</w:t>
      </w:r>
      <w:r>
        <w:rPr>
          <w:b/>
          <w:bCs/>
          <w:sz w:val="28"/>
          <w:szCs w:val="28"/>
        </w:rPr>
        <w:t xml:space="preserve"> </w:t>
      </w:r>
      <w:r>
        <w:rPr>
          <w:rFonts w:hint="eastAsia"/>
          <w:b/>
          <w:bCs/>
          <w:sz w:val="28"/>
          <w:szCs w:val="28"/>
        </w:rPr>
        <w:t>、响应函</w:t>
      </w:r>
      <w:bookmarkEnd w:id="106"/>
    </w:p>
    <w:p>
      <w:pPr>
        <w:autoSpaceDE w:val="0"/>
        <w:autoSpaceDN w:val="0"/>
        <w:adjustRightInd w:val="0"/>
        <w:spacing w:line="540" w:lineRule="exact"/>
        <w:ind w:left="434" w:right="246"/>
      </w:pPr>
      <w:r>
        <w:rPr>
          <w:rFonts w:hint="eastAsia"/>
        </w:rPr>
        <w:t>致（采购人名称）：</w:t>
      </w:r>
    </w:p>
    <w:p>
      <w:pPr>
        <w:autoSpaceDE w:val="0"/>
        <w:autoSpaceDN w:val="0"/>
        <w:adjustRightInd w:val="0"/>
        <w:spacing w:line="540" w:lineRule="exact"/>
        <w:ind w:left="401" w:right="-81" w:firstLine="480"/>
      </w:pPr>
      <w:r>
        <w:rPr>
          <w:rFonts w:hint="eastAsia"/>
        </w:rPr>
        <w:t>经研究，我方决定参加项目名称</w:t>
      </w:r>
      <w:r>
        <w:rPr>
          <w:u w:val="single"/>
        </w:rPr>
        <w:t xml:space="preserve">        </w:t>
      </w:r>
      <w:r>
        <w:rPr>
          <w:rFonts w:hint="eastAsia"/>
        </w:rPr>
        <w:t>项目编号</w:t>
      </w:r>
      <w:r>
        <w:rPr>
          <w:rFonts w:hint="eastAsia"/>
          <w:u w:val="single"/>
        </w:rPr>
        <w:t xml:space="preserve">     </w:t>
      </w:r>
      <w:r>
        <w:rPr>
          <w:u w:val="single"/>
        </w:rPr>
        <w:t xml:space="preserve">  </w:t>
      </w:r>
      <w:r>
        <w:rPr>
          <w:rFonts w:hint="eastAsia"/>
        </w:rPr>
        <w:t>谈判采购活动并提交响应文件。为此，我方郑重声明以下几点，并负法律责任：</w:t>
      </w:r>
    </w:p>
    <w:p>
      <w:pPr>
        <w:autoSpaceDE w:val="0"/>
        <w:autoSpaceDN w:val="0"/>
        <w:adjustRightInd w:val="0"/>
        <w:spacing w:line="540" w:lineRule="exact"/>
        <w:ind w:left="890" w:right="246"/>
      </w:pPr>
      <w:r>
        <w:t>1</w:t>
      </w:r>
      <w:r>
        <w:rPr>
          <w:rFonts w:hint="eastAsia"/>
        </w:rPr>
        <w:t>、我方提交的响应文件，正本一份，副本二份；</w:t>
      </w:r>
    </w:p>
    <w:p>
      <w:pPr>
        <w:autoSpaceDE w:val="0"/>
        <w:autoSpaceDN w:val="0"/>
        <w:adjustRightInd w:val="0"/>
        <w:spacing w:line="540" w:lineRule="exact"/>
        <w:ind w:left="391" w:right="-81" w:firstLine="480"/>
      </w:pPr>
      <w:r>
        <w:t>2</w:t>
      </w:r>
      <w:r>
        <w:rPr>
          <w:rFonts w:hint="eastAsia"/>
        </w:rPr>
        <w:t>、如果我方的响应文件被接受，我方将履行谈判文件中规定的每一项要求，并按我方响应文件中的承诺按期、保质完成项目；</w:t>
      </w:r>
    </w:p>
    <w:p>
      <w:pPr>
        <w:autoSpaceDE w:val="0"/>
        <w:autoSpaceDN w:val="0"/>
        <w:adjustRightInd w:val="0"/>
        <w:spacing w:line="540" w:lineRule="exact"/>
        <w:ind w:left="857" w:right="-81"/>
      </w:pPr>
      <w:r>
        <w:t>3</w:t>
      </w:r>
      <w:r>
        <w:rPr>
          <w:rFonts w:hint="eastAsia"/>
        </w:rPr>
        <w:t>、我方理解，最低报价不是成交的唯一条件，你方有选择入围供应商的权利；</w:t>
      </w:r>
    </w:p>
    <w:p>
      <w:pPr>
        <w:autoSpaceDE w:val="0"/>
        <w:autoSpaceDN w:val="0"/>
        <w:adjustRightInd w:val="0"/>
        <w:spacing w:line="540" w:lineRule="exact"/>
        <w:ind w:left="857" w:right="246"/>
      </w:pPr>
      <w:r>
        <w:t>4</w:t>
      </w:r>
      <w:r>
        <w:rPr>
          <w:rFonts w:hint="eastAsia"/>
        </w:rPr>
        <w:t>、我方同意遵守《中华人民共和国民法典》规定；</w:t>
      </w:r>
    </w:p>
    <w:p>
      <w:pPr>
        <w:tabs>
          <w:tab w:val="left" w:pos="8820"/>
        </w:tabs>
        <w:autoSpaceDE w:val="0"/>
        <w:autoSpaceDN w:val="0"/>
        <w:adjustRightInd w:val="0"/>
        <w:spacing w:line="540" w:lineRule="exact"/>
        <w:ind w:left="381" w:right="-81" w:firstLine="480"/>
      </w:pPr>
      <w:r>
        <w:t>5</w:t>
      </w:r>
      <w:r>
        <w:rPr>
          <w:rFonts w:hint="eastAsia"/>
        </w:rPr>
        <w:t>、我方同意遵守采购人对本次项目所做的有关规定；</w:t>
      </w:r>
    </w:p>
    <w:p>
      <w:pPr>
        <w:autoSpaceDE w:val="0"/>
        <w:autoSpaceDN w:val="0"/>
        <w:adjustRightInd w:val="0"/>
        <w:spacing w:line="540" w:lineRule="exact"/>
        <w:ind w:left="847" w:right="246"/>
      </w:pPr>
      <w:r>
        <w:t>6</w:t>
      </w:r>
      <w:r>
        <w:rPr>
          <w:rFonts w:hint="eastAsia"/>
        </w:rPr>
        <w:t>、我方的投标有效期为自响应文件截止提交之日起</w:t>
      </w:r>
      <w:r>
        <w:t>90</w:t>
      </w:r>
      <w:r>
        <w:rPr>
          <w:rFonts w:hint="eastAsia"/>
        </w:rPr>
        <w:t>个日历日；</w:t>
      </w:r>
    </w:p>
    <w:p>
      <w:pPr>
        <w:autoSpaceDE w:val="0"/>
        <w:autoSpaceDN w:val="0"/>
        <w:adjustRightInd w:val="0"/>
        <w:spacing w:line="540" w:lineRule="exact"/>
        <w:ind w:left="837" w:right="246"/>
      </w:pPr>
      <w:r>
        <w:t>7</w:t>
      </w:r>
      <w:r>
        <w:rPr>
          <w:rFonts w:hint="eastAsia"/>
        </w:rPr>
        <w:t>、我方若未成为入围供应商，你方有权不做任何解释；</w:t>
      </w:r>
    </w:p>
    <w:p>
      <w:pPr>
        <w:autoSpaceDE w:val="0"/>
        <w:autoSpaceDN w:val="0"/>
        <w:adjustRightInd w:val="0"/>
        <w:spacing w:line="540" w:lineRule="exact"/>
        <w:ind w:left="837" w:right="246"/>
      </w:pPr>
      <w:r>
        <w:t>8</w:t>
      </w:r>
      <w:r>
        <w:rPr>
          <w:rFonts w:hint="eastAsia"/>
        </w:rPr>
        <w:t>、与谈判采购活动有关的一切正式往来通讯请寄：</w:t>
      </w:r>
    </w:p>
    <w:p>
      <w:pPr>
        <w:autoSpaceDE w:val="0"/>
        <w:autoSpaceDN w:val="0"/>
        <w:adjustRightInd w:val="0"/>
        <w:spacing w:line="540" w:lineRule="exact"/>
        <w:ind w:left="837" w:right="244"/>
      </w:pPr>
      <w:r>
        <w:rPr>
          <w:rFonts w:hint="eastAsia"/>
        </w:rPr>
        <w:t>地址：</w:t>
      </w:r>
    </w:p>
    <w:p>
      <w:pPr>
        <w:autoSpaceDE w:val="0"/>
        <w:autoSpaceDN w:val="0"/>
        <w:adjustRightInd w:val="0"/>
        <w:spacing w:line="540" w:lineRule="exact"/>
        <w:ind w:left="847" w:right="244"/>
      </w:pPr>
      <w:r>
        <w:rPr>
          <w:rFonts w:hint="eastAsia"/>
        </w:rPr>
        <w:t>邮政编码：</w:t>
      </w:r>
    </w:p>
    <w:p>
      <w:pPr>
        <w:autoSpaceDE w:val="0"/>
        <w:autoSpaceDN w:val="0"/>
        <w:adjustRightInd w:val="0"/>
        <w:spacing w:line="540" w:lineRule="exact"/>
        <w:ind w:left="847" w:right="244"/>
      </w:pPr>
      <w:r>
        <w:rPr>
          <w:rFonts w:hint="eastAsia"/>
        </w:rPr>
        <w:t>电话：</w:t>
      </w:r>
    </w:p>
    <w:p>
      <w:pPr>
        <w:autoSpaceDE w:val="0"/>
        <w:autoSpaceDN w:val="0"/>
        <w:adjustRightInd w:val="0"/>
        <w:spacing w:line="540" w:lineRule="exact"/>
        <w:ind w:left="833" w:right="244"/>
      </w:pPr>
      <w:r>
        <w:rPr>
          <w:rFonts w:hint="eastAsia"/>
        </w:rPr>
        <w:t>传真：</w:t>
      </w:r>
    </w:p>
    <w:p>
      <w:pPr>
        <w:autoSpaceDE w:val="0"/>
        <w:autoSpaceDN w:val="0"/>
        <w:adjustRightInd w:val="0"/>
        <w:spacing w:line="540" w:lineRule="exact"/>
        <w:ind w:left="818" w:right="244"/>
      </w:pPr>
      <w:r>
        <w:rPr>
          <w:rFonts w:hint="eastAsia"/>
        </w:rPr>
        <w:t>开户单位：</w:t>
      </w:r>
    </w:p>
    <w:p>
      <w:pPr>
        <w:autoSpaceDE w:val="0"/>
        <w:autoSpaceDN w:val="0"/>
        <w:adjustRightInd w:val="0"/>
        <w:spacing w:line="540" w:lineRule="exact"/>
        <w:ind w:left="818" w:right="244"/>
      </w:pPr>
      <w:r>
        <w:rPr>
          <w:rFonts w:hint="eastAsia"/>
        </w:rPr>
        <w:t>开户银行：</w:t>
      </w:r>
    </w:p>
    <w:p>
      <w:pPr>
        <w:autoSpaceDE w:val="0"/>
        <w:autoSpaceDN w:val="0"/>
        <w:adjustRightInd w:val="0"/>
        <w:spacing w:line="540" w:lineRule="exact"/>
        <w:ind w:left="818" w:right="244"/>
      </w:pPr>
      <w:r>
        <w:rPr>
          <w:rFonts w:hint="eastAsia"/>
        </w:rPr>
        <w:t>帐号：</w:t>
      </w:r>
    </w:p>
    <w:p>
      <w:pPr>
        <w:autoSpaceDE w:val="0"/>
        <w:autoSpaceDN w:val="0"/>
        <w:adjustRightInd w:val="0"/>
        <w:spacing w:line="540" w:lineRule="exact"/>
        <w:ind w:left="818" w:right="244"/>
      </w:pPr>
    </w:p>
    <w:p>
      <w:pPr>
        <w:autoSpaceDE w:val="0"/>
        <w:autoSpaceDN w:val="0"/>
        <w:adjustRightInd w:val="0"/>
        <w:spacing w:line="540" w:lineRule="exact"/>
        <w:ind w:left="813" w:right="244"/>
      </w:pPr>
      <w:r>
        <w:rPr>
          <w:rFonts w:hint="eastAsia"/>
        </w:rPr>
        <w:t>供应商（盖章）</w:t>
      </w:r>
    </w:p>
    <w:p>
      <w:pPr>
        <w:autoSpaceDE w:val="0"/>
        <w:autoSpaceDN w:val="0"/>
        <w:adjustRightInd w:val="0"/>
        <w:spacing w:line="540" w:lineRule="exact"/>
        <w:ind w:left="809" w:right="244"/>
      </w:pPr>
      <w:r>
        <w:rPr>
          <w:rFonts w:hint="eastAsia"/>
        </w:rPr>
        <w:t>法定代表人或委托代理人（签字或盖章）：</w:t>
      </w:r>
    </w:p>
    <w:p>
      <w:pPr>
        <w:autoSpaceDE w:val="0"/>
        <w:autoSpaceDN w:val="0"/>
        <w:adjustRightInd w:val="0"/>
        <w:spacing w:line="540" w:lineRule="exact"/>
        <w:ind w:left="809" w:right="244"/>
      </w:pPr>
      <w:r>
        <w:rPr>
          <w:rFonts w:hint="eastAsia"/>
        </w:rPr>
        <w:t>日期：    年    月    日</w:t>
      </w:r>
    </w:p>
    <w:p>
      <w:pPr>
        <w:jc w:val="center"/>
        <w:rPr>
          <w:b/>
          <w:bCs/>
          <w:sz w:val="28"/>
          <w:szCs w:val="28"/>
        </w:rPr>
      </w:pPr>
      <w:bookmarkStart w:id="107" w:name="_Toc15731"/>
    </w:p>
    <w:p>
      <w:pPr>
        <w:pStyle w:val="2"/>
      </w:pPr>
    </w:p>
    <w:p>
      <w:pPr>
        <w:jc w:val="center"/>
        <w:outlineLvl w:val="1"/>
        <w:rPr>
          <w:b/>
          <w:bCs/>
          <w:sz w:val="28"/>
          <w:szCs w:val="28"/>
        </w:rPr>
      </w:pPr>
      <w:r>
        <w:rPr>
          <w:rFonts w:hint="eastAsia"/>
          <w:b/>
          <w:bCs/>
          <w:sz w:val="28"/>
          <w:szCs w:val="28"/>
        </w:rPr>
        <w:t>二、</w:t>
      </w:r>
      <w:bookmarkStart w:id="108" w:name="_Hlk97901244"/>
      <w:r>
        <w:rPr>
          <w:rFonts w:hint="eastAsia"/>
          <w:b/>
          <w:bCs/>
          <w:sz w:val="28"/>
          <w:szCs w:val="28"/>
        </w:rPr>
        <w:t>法定代表人身份证明书</w:t>
      </w:r>
      <w:bookmarkEnd w:id="107"/>
      <w:bookmarkEnd w:id="108"/>
    </w:p>
    <w:p>
      <w:pPr>
        <w:spacing w:line="360" w:lineRule="exact"/>
        <w:ind w:firstLine="612"/>
      </w:pPr>
    </w:p>
    <w:p>
      <w:pPr>
        <w:spacing w:line="360" w:lineRule="exact"/>
        <w:ind w:firstLine="612"/>
      </w:pPr>
    </w:p>
    <w:p>
      <w:pPr>
        <w:spacing w:line="360" w:lineRule="exact"/>
        <w:ind w:firstLine="612"/>
        <w:rPr>
          <w:szCs w:val="21"/>
          <w:u w:val="single"/>
        </w:rPr>
      </w:pPr>
      <w:r>
        <w:rPr>
          <w:rFonts w:hint="eastAsia"/>
          <w:szCs w:val="21"/>
        </w:rPr>
        <w:t>单位名称：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spacing w:line="360" w:lineRule="exact"/>
        <w:ind w:firstLine="612"/>
        <w:rPr>
          <w:szCs w:val="21"/>
        </w:rPr>
      </w:pPr>
    </w:p>
    <w:p>
      <w:pPr>
        <w:spacing w:line="360" w:lineRule="exact"/>
        <w:ind w:firstLine="612"/>
        <w:rPr>
          <w:szCs w:val="21"/>
        </w:rPr>
      </w:pPr>
    </w:p>
    <w:p>
      <w:pPr>
        <w:spacing w:line="360" w:lineRule="exact"/>
        <w:ind w:firstLine="610"/>
        <w:rPr>
          <w:szCs w:val="21"/>
          <w:u w:val="single"/>
        </w:rPr>
      </w:pPr>
      <w:r>
        <w:rPr>
          <w:rFonts w:hint="eastAsia"/>
          <w:szCs w:val="21"/>
        </w:rPr>
        <w:t>单位性质：</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地   址：</w:t>
      </w:r>
      <w:r>
        <w:rPr>
          <w:rFonts w:hint="eastAsia"/>
          <w:szCs w:val="21"/>
          <w:u w:val="single"/>
        </w:rPr>
        <w:t xml:space="preserve">                                    </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成立时间：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exact"/>
        <w:ind w:firstLine="610"/>
        <w:rPr>
          <w:szCs w:val="21"/>
        </w:rPr>
      </w:pPr>
    </w:p>
    <w:p>
      <w:pPr>
        <w:spacing w:line="360" w:lineRule="exact"/>
        <w:ind w:firstLine="610"/>
        <w:rPr>
          <w:szCs w:val="21"/>
        </w:rPr>
      </w:pPr>
    </w:p>
    <w:p>
      <w:pPr>
        <w:spacing w:line="360" w:lineRule="exact"/>
        <w:ind w:firstLine="610"/>
        <w:rPr>
          <w:szCs w:val="21"/>
          <w:u w:val="single"/>
        </w:rPr>
      </w:pPr>
      <w:r>
        <w:rPr>
          <w:rFonts w:hint="eastAsia"/>
          <w:szCs w:val="21"/>
        </w:rPr>
        <w:t>经营期限：</w:t>
      </w:r>
      <w:r>
        <w:rPr>
          <w:rFonts w:hint="eastAsia"/>
          <w:szCs w:val="21"/>
          <w:u w:val="single"/>
        </w:rPr>
        <w:tab/>
      </w:r>
      <w:r>
        <w:rPr>
          <w:rFonts w:hint="eastAsia"/>
          <w:szCs w:val="21"/>
          <w:u w:val="single"/>
        </w:rPr>
        <w:t xml:space="preserve">                                </w:t>
      </w:r>
      <w:r>
        <w:rPr>
          <w:rFonts w:hint="eastAsia"/>
          <w:szCs w:val="21"/>
          <w:u w:val="single"/>
        </w:rPr>
        <w:tab/>
      </w:r>
    </w:p>
    <w:p>
      <w:pPr>
        <w:spacing w:line="360" w:lineRule="exact"/>
        <w:ind w:firstLine="610"/>
        <w:rPr>
          <w:szCs w:val="21"/>
        </w:rPr>
      </w:pPr>
    </w:p>
    <w:p>
      <w:pPr>
        <w:spacing w:line="360" w:lineRule="exact"/>
        <w:ind w:firstLine="610"/>
        <w:rPr>
          <w:szCs w:val="21"/>
        </w:rPr>
      </w:pPr>
    </w:p>
    <w:p>
      <w:pPr>
        <w:spacing w:line="360" w:lineRule="exact"/>
        <w:ind w:firstLine="610"/>
        <w:rPr>
          <w:szCs w:val="21"/>
          <w:u w:val="single"/>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 xml:space="preserve"> 职务：</w:t>
      </w:r>
      <w:r>
        <w:rPr>
          <w:rFonts w:hint="eastAsia"/>
          <w:szCs w:val="21"/>
          <w:u w:val="single"/>
        </w:rPr>
        <w:tab/>
      </w:r>
      <w:r>
        <w:rPr>
          <w:rFonts w:hint="eastAsia"/>
          <w:szCs w:val="21"/>
          <w:u w:val="single"/>
        </w:rPr>
        <w:tab/>
      </w:r>
      <w:r>
        <w:rPr>
          <w:rFonts w:hint="eastAsia"/>
          <w:szCs w:val="21"/>
          <w:u w:val="single"/>
        </w:rPr>
        <w:t xml:space="preserve"> </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系</w:t>
      </w:r>
      <w:r>
        <w:rPr>
          <w:rFonts w:hint="eastAsia"/>
          <w:szCs w:val="21"/>
          <w:u w:val="single"/>
        </w:rPr>
        <w:t xml:space="preserve">                           </w:t>
      </w:r>
      <w:r>
        <w:rPr>
          <w:rFonts w:hint="eastAsia"/>
          <w:szCs w:val="21"/>
        </w:rPr>
        <w:t>的法定代表人。</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特此证明。</w:t>
      </w:r>
    </w:p>
    <w:p>
      <w:pPr>
        <w:tabs>
          <w:tab w:val="left" w:pos="720"/>
          <w:tab w:val="left" w:pos="900"/>
        </w:tabs>
        <w:spacing w:line="360" w:lineRule="exact"/>
        <w:rPr>
          <w:szCs w:val="21"/>
        </w:rPr>
      </w:pPr>
    </w:p>
    <w:p>
      <w:pPr>
        <w:tabs>
          <w:tab w:val="left" w:pos="720"/>
          <w:tab w:val="left" w:pos="900"/>
        </w:tabs>
        <w:spacing w:line="360" w:lineRule="exact"/>
        <w:rPr>
          <w:szCs w:val="21"/>
        </w:rPr>
      </w:pPr>
      <w:r>
        <w:rPr>
          <w:rFonts w:hint="eastAsia"/>
          <w:szCs w:val="21"/>
        </w:rPr>
        <w:t xml:space="preserve">     注：后附法人身份证正反面复印件</w:t>
      </w:r>
    </w:p>
    <w:p>
      <w:pPr>
        <w:tabs>
          <w:tab w:val="left" w:pos="720"/>
          <w:tab w:val="left" w:pos="900"/>
        </w:tabs>
        <w:spacing w:line="360" w:lineRule="exact"/>
        <w:rPr>
          <w:szCs w:val="21"/>
        </w:rPr>
      </w:pPr>
    </w:p>
    <w:p>
      <w:pPr>
        <w:tabs>
          <w:tab w:val="left" w:pos="720"/>
          <w:tab w:val="left" w:pos="900"/>
        </w:tabs>
        <w:spacing w:line="360" w:lineRule="exact"/>
        <w:rPr>
          <w:szCs w:val="21"/>
        </w:rPr>
      </w:pPr>
    </w:p>
    <w:p>
      <w:pPr>
        <w:tabs>
          <w:tab w:val="left" w:pos="720"/>
          <w:tab w:val="left" w:pos="900"/>
        </w:tabs>
        <w:spacing w:line="360" w:lineRule="exact"/>
        <w:rPr>
          <w:szCs w:val="21"/>
        </w:rPr>
      </w:pPr>
    </w:p>
    <w:p>
      <w:pPr>
        <w:tabs>
          <w:tab w:val="left" w:pos="720"/>
          <w:tab w:val="left" w:pos="900"/>
        </w:tabs>
        <w:spacing w:line="360" w:lineRule="exact"/>
        <w:ind w:firstLine="4800" w:firstLineChars="2000"/>
        <w:rPr>
          <w:szCs w:val="21"/>
          <w:u w:val="single"/>
        </w:rPr>
      </w:pPr>
      <w:r>
        <w:rPr>
          <w:rFonts w:hint="eastAsia"/>
          <w:szCs w:val="21"/>
        </w:rPr>
        <w:t>供应商：</w:t>
      </w:r>
      <w:r>
        <w:rPr>
          <w:rFonts w:hint="eastAsia"/>
          <w:szCs w:val="21"/>
          <w:u w:val="single"/>
        </w:rPr>
        <w:t xml:space="preserve">             （公章）</w:t>
      </w:r>
    </w:p>
    <w:p>
      <w:pPr>
        <w:autoSpaceDE w:val="0"/>
        <w:autoSpaceDN w:val="0"/>
        <w:adjustRightInd w:val="0"/>
        <w:spacing w:before="3" w:line="540" w:lineRule="exact"/>
        <w:ind w:right="286"/>
        <w:jc w:val="center"/>
        <w:rPr>
          <w:b/>
          <w:sz w:val="28"/>
          <w:szCs w:val="28"/>
        </w:rPr>
      </w:pPr>
    </w:p>
    <w:p>
      <w:pPr>
        <w:autoSpaceDE w:val="0"/>
        <w:autoSpaceDN w:val="0"/>
        <w:adjustRightInd w:val="0"/>
        <w:spacing w:before="3" w:line="540" w:lineRule="exact"/>
        <w:ind w:right="286"/>
        <w:jc w:val="center"/>
        <w:rPr>
          <w:b/>
          <w:sz w:val="28"/>
          <w:szCs w:val="28"/>
        </w:rPr>
      </w:pPr>
    </w:p>
    <w:p>
      <w:pPr>
        <w:autoSpaceDE w:val="0"/>
        <w:autoSpaceDN w:val="0"/>
        <w:adjustRightInd w:val="0"/>
        <w:spacing w:before="3" w:line="540" w:lineRule="exact"/>
        <w:ind w:right="286"/>
        <w:jc w:val="center"/>
        <w:rPr>
          <w:b/>
          <w:sz w:val="28"/>
          <w:szCs w:val="28"/>
        </w:rPr>
      </w:pPr>
    </w:p>
    <w:p>
      <w:pPr>
        <w:pStyle w:val="3"/>
      </w:pPr>
    </w:p>
    <w:p>
      <w:pPr>
        <w:pStyle w:val="3"/>
      </w:pPr>
    </w:p>
    <w:p>
      <w:pPr>
        <w:jc w:val="center"/>
        <w:rPr>
          <w:b/>
          <w:bCs/>
          <w:sz w:val="28"/>
          <w:szCs w:val="28"/>
        </w:rPr>
      </w:pPr>
      <w:bookmarkStart w:id="109" w:name="_Toc13545"/>
    </w:p>
    <w:p>
      <w:pPr>
        <w:jc w:val="center"/>
        <w:outlineLvl w:val="1"/>
        <w:rPr>
          <w:b/>
          <w:bCs/>
          <w:sz w:val="28"/>
          <w:szCs w:val="28"/>
        </w:rPr>
      </w:pPr>
      <w:r>
        <w:rPr>
          <w:rFonts w:hint="eastAsia"/>
          <w:b/>
          <w:bCs/>
          <w:sz w:val="28"/>
          <w:szCs w:val="28"/>
        </w:rPr>
        <w:t>三、</w:t>
      </w:r>
      <w:r>
        <w:rPr>
          <w:b/>
          <w:bCs/>
          <w:sz w:val="28"/>
          <w:szCs w:val="28"/>
        </w:rPr>
        <w:t xml:space="preserve"> </w:t>
      </w:r>
      <w:r>
        <w:rPr>
          <w:rFonts w:hint="eastAsia"/>
          <w:b/>
          <w:bCs/>
          <w:sz w:val="28"/>
          <w:szCs w:val="28"/>
        </w:rPr>
        <w:t>法定代表人授权委托书</w:t>
      </w:r>
      <w:bookmarkEnd w:id="109"/>
    </w:p>
    <w:p>
      <w:pPr>
        <w:autoSpaceDE w:val="0"/>
        <w:autoSpaceDN w:val="0"/>
        <w:adjustRightInd w:val="0"/>
        <w:spacing w:line="540" w:lineRule="exact"/>
        <w:ind w:left="247" w:right="246" w:firstLine="720"/>
      </w:pPr>
    </w:p>
    <w:p>
      <w:pPr>
        <w:autoSpaceDE w:val="0"/>
        <w:autoSpaceDN w:val="0"/>
        <w:adjustRightInd w:val="0"/>
        <w:spacing w:line="540" w:lineRule="exact"/>
        <w:ind w:left="247" w:right="-81" w:firstLine="720"/>
      </w:pPr>
      <w:r>
        <w:rPr>
          <w:rFonts w:hint="eastAsia"/>
        </w:rPr>
        <w:t>本授权委托书声明：本人</w:t>
      </w:r>
      <w:r>
        <w:rPr>
          <w:u w:val="single"/>
        </w:rPr>
        <w:t xml:space="preserve">        </w:t>
      </w:r>
      <w:r>
        <w:rPr>
          <w:rFonts w:hint="eastAsia"/>
        </w:rPr>
        <w:t>（姓名）系</w:t>
      </w:r>
      <w:r>
        <w:t xml:space="preserve"> </w:t>
      </w:r>
      <w:r>
        <w:rPr>
          <w:u w:val="single"/>
        </w:rPr>
        <w:t xml:space="preserve">               </w:t>
      </w:r>
      <w:r>
        <w:rPr>
          <w:rFonts w:hint="eastAsia"/>
        </w:rPr>
        <w:t>（供应商名称）的法定代表人，现委托</w:t>
      </w:r>
      <w:r>
        <w:rPr>
          <w:u w:val="single"/>
        </w:rPr>
        <w:t xml:space="preserve">          </w:t>
      </w:r>
      <w:r>
        <w:rPr>
          <w:rFonts w:hint="eastAsia"/>
        </w:rPr>
        <w:t>（姓名、职务或职称）为我方的代理人，以我方的名义参加项目名称</w:t>
      </w:r>
      <w:r>
        <w:rPr>
          <w:u w:val="single"/>
        </w:rPr>
        <w:t xml:space="preserve">      </w:t>
      </w:r>
      <w:r>
        <w:rPr>
          <w:rFonts w:hint="eastAsia"/>
        </w:rPr>
        <w:t>项目编号</w:t>
      </w:r>
      <w:r>
        <w:rPr>
          <w:rFonts w:hint="eastAsia"/>
          <w:u w:val="single"/>
        </w:rPr>
        <w:t xml:space="preserve">     </w:t>
      </w:r>
      <w:r>
        <w:rPr>
          <w:rFonts w:hint="eastAsia"/>
        </w:rPr>
        <w:t>的谈判采购活动，代理人全权代表我方在谈判采购过程中所签署的一切文件和处理与之有关的一切事务，我均予以承认，其法律后果由我方承担。</w:t>
      </w:r>
    </w:p>
    <w:p>
      <w:pPr>
        <w:autoSpaceDE w:val="0"/>
        <w:autoSpaceDN w:val="0"/>
        <w:adjustRightInd w:val="0"/>
        <w:spacing w:line="540" w:lineRule="exact"/>
        <w:ind w:left="876" w:right="246"/>
      </w:pPr>
      <w:r>
        <w:rPr>
          <w:rFonts w:hint="eastAsia"/>
        </w:rPr>
        <w:t>代理人无转委托权。特此委托。</w:t>
      </w:r>
    </w:p>
    <w:p>
      <w:pPr>
        <w:spacing w:after="326" w:afterLines="100" w:line="500" w:lineRule="exact"/>
        <w:ind w:firstLine="480" w:firstLineChars="200"/>
        <w:rPr>
          <w:szCs w:val="21"/>
        </w:rPr>
      </w:pPr>
    </w:p>
    <w:p>
      <w:pPr>
        <w:spacing w:after="326" w:afterLines="100" w:line="500" w:lineRule="exact"/>
        <w:ind w:firstLine="480" w:firstLineChars="200"/>
        <w:rPr>
          <w:szCs w:val="21"/>
        </w:rPr>
      </w:pPr>
      <w:r>
        <w:rPr>
          <w:rFonts w:hint="eastAsia"/>
          <w:szCs w:val="21"/>
        </w:rPr>
        <w:t>后附：法定代表人</w:t>
      </w:r>
      <w:bookmarkStart w:id="110" w:name="OLE_LINK14"/>
      <w:r>
        <w:rPr>
          <w:rFonts w:hint="eastAsia"/>
          <w:szCs w:val="21"/>
        </w:rPr>
        <w:t>身份证复印件（正反面）</w:t>
      </w:r>
      <w:bookmarkEnd w:id="110"/>
      <w:r>
        <w:rPr>
          <w:rFonts w:hint="eastAsia"/>
          <w:szCs w:val="21"/>
        </w:rPr>
        <w:t>及委托代理人身份证复印件（正反面）</w:t>
      </w:r>
    </w:p>
    <w:p>
      <w:pPr>
        <w:spacing w:line="500" w:lineRule="exact"/>
        <w:rPr>
          <w:szCs w:val="21"/>
        </w:rPr>
      </w:pPr>
    </w:p>
    <w:p>
      <w:pPr>
        <w:spacing w:line="400" w:lineRule="exact"/>
        <w:ind w:firstLine="240" w:firstLineChars="100"/>
        <w:rPr>
          <w:szCs w:val="21"/>
        </w:rPr>
      </w:pPr>
      <w:r>
        <w:rPr>
          <w:rFonts w:hint="eastAsia"/>
          <w:szCs w:val="21"/>
        </w:rPr>
        <w:t>供 应 商：</w:t>
      </w:r>
      <w:r>
        <w:rPr>
          <w:rFonts w:hint="eastAsia"/>
          <w:szCs w:val="21"/>
          <w:u w:val="single"/>
        </w:rPr>
        <w:t xml:space="preserve">                        </w:t>
      </w:r>
      <w:r>
        <w:rPr>
          <w:rFonts w:hint="eastAsia"/>
          <w:szCs w:val="21"/>
        </w:rPr>
        <w:t>（公章）</w:t>
      </w:r>
    </w:p>
    <w:p>
      <w:pPr>
        <w:spacing w:line="400" w:lineRule="exact"/>
        <w:ind w:firstLine="4080" w:firstLineChars="1700"/>
        <w:rPr>
          <w:szCs w:val="21"/>
        </w:rPr>
      </w:pPr>
    </w:p>
    <w:p>
      <w:pPr>
        <w:spacing w:line="400" w:lineRule="exact"/>
        <w:ind w:firstLine="240" w:firstLineChars="100"/>
        <w:rPr>
          <w:szCs w:val="21"/>
        </w:rPr>
      </w:pPr>
      <w:r>
        <w:rPr>
          <w:rFonts w:hint="eastAsia"/>
          <w:szCs w:val="21"/>
        </w:rPr>
        <w:t>法定代表人：</w:t>
      </w:r>
      <w:r>
        <w:rPr>
          <w:rFonts w:hint="eastAsia"/>
          <w:szCs w:val="21"/>
          <w:u w:val="single"/>
        </w:rPr>
        <w:t xml:space="preserve">                         </w:t>
      </w:r>
      <w:r>
        <w:rPr>
          <w:rFonts w:hint="eastAsia"/>
          <w:szCs w:val="21"/>
        </w:rPr>
        <w:t>（签字或印鉴）</w:t>
      </w:r>
    </w:p>
    <w:p>
      <w:pPr>
        <w:spacing w:line="400" w:lineRule="exact"/>
        <w:ind w:firstLine="4080" w:firstLineChars="1700"/>
        <w:rPr>
          <w:szCs w:val="21"/>
        </w:rPr>
      </w:pPr>
    </w:p>
    <w:p>
      <w:pPr>
        <w:spacing w:line="400" w:lineRule="exact"/>
        <w:ind w:firstLine="240" w:firstLineChars="100"/>
        <w:rPr>
          <w:szCs w:val="21"/>
          <w:u w:val="single"/>
        </w:rPr>
      </w:pPr>
      <w:r>
        <w:rPr>
          <w:rFonts w:hint="eastAsia"/>
          <w:szCs w:val="21"/>
        </w:rPr>
        <w:t>身份证号码：</w:t>
      </w:r>
      <w:r>
        <w:rPr>
          <w:rFonts w:hint="eastAsia"/>
          <w:szCs w:val="21"/>
          <w:u w:val="single"/>
        </w:rPr>
        <w:t xml:space="preserve">                                   </w:t>
      </w:r>
    </w:p>
    <w:p>
      <w:pPr>
        <w:spacing w:line="400" w:lineRule="exact"/>
        <w:ind w:firstLine="4080" w:firstLineChars="1700"/>
        <w:rPr>
          <w:szCs w:val="21"/>
          <w:u w:val="single"/>
        </w:rPr>
      </w:pPr>
    </w:p>
    <w:p>
      <w:pPr>
        <w:spacing w:line="400" w:lineRule="exact"/>
        <w:ind w:firstLine="240" w:firstLineChars="100"/>
        <w:rPr>
          <w:szCs w:val="21"/>
        </w:rPr>
      </w:pPr>
      <w:r>
        <w:rPr>
          <w:rFonts w:hint="eastAsia"/>
          <w:szCs w:val="21"/>
        </w:rPr>
        <w:t>委托代理人：</w:t>
      </w:r>
      <w:r>
        <w:rPr>
          <w:rFonts w:hint="eastAsia"/>
          <w:szCs w:val="21"/>
          <w:u w:val="single"/>
        </w:rPr>
        <w:t xml:space="preserve">                         </w:t>
      </w:r>
      <w:r>
        <w:rPr>
          <w:rFonts w:hint="eastAsia"/>
          <w:szCs w:val="21"/>
        </w:rPr>
        <w:t>（签字）</w:t>
      </w:r>
    </w:p>
    <w:p>
      <w:pPr>
        <w:spacing w:line="400" w:lineRule="exact"/>
        <w:ind w:firstLine="4080" w:firstLineChars="1700"/>
        <w:rPr>
          <w:szCs w:val="21"/>
        </w:rPr>
      </w:pPr>
    </w:p>
    <w:p>
      <w:pPr>
        <w:spacing w:line="400" w:lineRule="exact"/>
        <w:ind w:firstLine="240" w:firstLineChars="100"/>
        <w:rPr>
          <w:szCs w:val="21"/>
          <w:u w:val="single"/>
        </w:rPr>
      </w:pPr>
      <w:r>
        <w:rPr>
          <w:rFonts w:hint="eastAsia"/>
          <w:szCs w:val="21"/>
        </w:rPr>
        <w:t>身份证号码：</w:t>
      </w:r>
      <w:r>
        <w:rPr>
          <w:rFonts w:hint="eastAsia"/>
          <w:szCs w:val="21"/>
          <w:u w:val="single"/>
        </w:rPr>
        <w:t xml:space="preserve">                                   </w:t>
      </w:r>
    </w:p>
    <w:p>
      <w:pPr>
        <w:spacing w:line="400" w:lineRule="exact"/>
        <w:ind w:firstLine="4080" w:firstLineChars="1700"/>
        <w:rPr>
          <w:szCs w:val="21"/>
        </w:rPr>
      </w:pPr>
    </w:p>
    <w:p>
      <w:pPr>
        <w:spacing w:line="400" w:lineRule="exact"/>
        <w:ind w:firstLine="240" w:firstLineChars="10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pStyle w:val="2"/>
        <w:rPr>
          <w:rFonts w:hAnsi="宋体"/>
          <w:color w:val="auto"/>
        </w:rPr>
      </w:pPr>
    </w:p>
    <w:p>
      <w:pPr>
        <w:autoSpaceDE w:val="0"/>
        <w:autoSpaceDN w:val="0"/>
        <w:adjustRightInd w:val="0"/>
        <w:spacing w:line="540" w:lineRule="exact"/>
        <w:ind w:left="876" w:right="246"/>
      </w:pPr>
    </w:p>
    <w:p>
      <w:pPr>
        <w:jc w:val="center"/>
        <w:outlineLvl w:val="1"/>
        <w:rPr>
          <w:b/>
          <w:sz w:val="28"/>
          <w:szCs w:val="28"/>
        </w:rPr>
      </w:pPr>
      <w:r>
        <w:rPr>
          <w:b/>
          <w:sz w:val="28"/>
          <w:szCs w:val="28"/>
        </w:rPr>
        <w:br w:type="page"/>
      </w:r>
      <w:bookmarkStart w:id="111" w:name="_Toc23783"/>
    </w:p>
    <w:p>
      <w:pPr>
        <w:jc w:val="center"/>
        <w:outlineLvl w:val="1"/>
        <w:rPr>
          <w:b/>
          <w:sz w:val="28"/>
        </w:rPr>
      </w:pPr>
      <w:r>
        <w:rPr>
          <w:rFonts w:hint="eastAsia"/>
          <w:b/>
          <w:bCs/>
          <w:sz w:val="28"/>
          <w:szCs w:val="28"/>
        </w:rPr>
        <w:t>四、</w:t>
      </w:r>
      <w:r>
        <w:rPr>
          <w:b/>
          <w:bCs/>
          <w:sz w:val="28"/>
          <w:szCs w:val="28"/>
        </w:rPr>
        <w:t xml:space="preserve">  </w:t>
      </w:r>
      <w:bookmarkEnd w:id="111"/>
      <w:r>
        <w:rPr>
          <w:rFonts w:hint="eastAsia"/>
          <w:b/>
          <w:sz w:val="28"/>
        </w:rPr>
        <w:t>谈判保证金缴纳证明</w:t>
      </w:r>
    </w:p>
    <w:p>
      <w:pPr>
        <w:pStyle w:val="21"/>
        <w:tabs>
          <w:tab w:val="left" w:pos="3330"/>
        </w:tabs>
        <w:spacing w:before="140"/>
        <w:ind w:left="758"/>
        <w:rPr>
          <w:rFonts w:hAnsi="宋体" w:eastAsia="宋体"/>
        </w:rPr>
      </w:pPr>
      <w:r>
        <w:rPr>
          <w:rFonts w:hAnsi="宋体" w:eastAsia="宋体"/>
        </w:rPr>
        <w:t>采用银行汇票、银行电汇或支票等形式，供应商应在此提供汇款或交纳凭证的复印件，并提供</w:t>
      </w:r>
      <w:r>
        <w:rPr>
          <w:rFonts w:hint="eastAsia" w:hAnsi="宋体" w:eastAsia="宋体"/>
        </w:rPr>
        <w:t>谈判</w:t>
      </w:r>
      <w:r>
        <w:rPr>
          <w:rFonts w:hAnsi="宋体" w:eastAsia="宋体"/>
        </w:rPr>
        <w:t>保证金从基本账户转出承诺函。</w:t>
      </w:r>
    </w:p>
    <w:p>
      <w:pPr>
        <w:pStyle w:val="21"/>
        <w:tabs>
          <w:tab w:val="left" w:pos="3330"/>
        </w:tabs>
        <w:spacing w:before="140"/>
        <w:ind w:left="758"/>
        <w:rPr>
          <w:rFonts w:hAnsi="宋体" w:eastAsia="宋体"/>
        </w:rPr>
      </w:pPr>
    </w:p>
    <w:p>
      <w:pPr>
        <w:pStyle w:val="21"/>
        <w:tabs>
          <w:tab w:val="left" w:pos="3330"/>
        </w:tabs>
        <w:spacing w:before="140"/>
        <w:ind w:left="758"/>
        <w:rPr>
          <w:rFonts w:hAnsi="宋体" w:eastAsia="宋体"/>
        </w:rPr>
      </w:pPr>
      <w:r>
        <w:rPr>
          <w:rFonts w:hAnsi="宋体" w:eastAsia="宋体"/>
        </w:rPr>
        <w:t>（1）汇款或交纳凭证的复印件</w:t>
      </w:r>
    </w:p>
    <w:p>
      <w:pPr>
        <w:pStyle w:val="21"/>
        <w:tabs>
          <w:tab w:val="left" w:pos="3330"/>
        </w:tabs>
        <w:spacing w:before="140"/>
        <w:ind w:left="758"/>
        <w:rPr>
          <w:rFonts w:hAnsi="宋体" w:eastAsia="宋体"/>
        </w:rPr>
      </w:pPr>
    </w:p>
    <w:p>
      <w:pPr>
        <w:pStyle w:val="21"/>
        <w:tabs>
          <w:tab w:val="left" w:pos="3330"/>
        </w:tabs>
        <w:spacing w:before="140"/>
        <w:ind w:left="758"/>
        <w:rPr>
          <w:rFonts w:hAnsi="宋体" w:eastAsia="宋体"/>
        </w:rPr>
      </w:pPr>
      <w:r>
        <w:rPr>
          <w:rFonts w:hAnsi="宋体" w:eastAsia="宋体"/>
        </w:rPr>
        <w:t>（2）</w:t>
      </w:r>
      <w:r>
        <w:rPr>
          <w:rFonts w:hint="eastAsia" w:hAnsi="宋体" w:eastAsia="宋体"/>
        </w:rPr>
        <w:t>谈判</w:t>
      </w:r>
      <w:r>
        <w:rPr>
          <w:rFonts w:hAnsi="宋体" w:eastAsia="宋体"/>
        </w:rPr>
        <w:t>保证金从基本账户转出承诺函</w:t>
      </w:r>
    </w:p>
    <w:p>
      <w:pPr>
        <w:pStyle w:val="21"/>
        <w:rPr>
          <w:sz w:val="26"/>
        </w:rPr>
      </w:pPr>
    </w:p>
    <w:p>
      <w:pPr>
        <w:pStyle w:val="21"/>
        <w:spacing w:before="3"/>
        <w:rPr>
          <w:sz w:val="22"/>
        </w:rPr>
      </w:pPr>
    </w:p>
    <w:p>
      <w:pPr>
        <w:ind w:left="20"/>
        <w:jc w:val="center"/>
        <w:rPr>
          <w:b/>
          <w:sz w:val="28"/>
        </w:rPr>
      </w:pPr>
      <w:r>
        <w:rPr>
          <w:rFonts w:hint="eastAsia"/>
          <w:b/>
          <w:sz w:val="28"/>
        </w:rPr>
        <w:t>谈判</w:t>
      </w:r>
      <w:r>
        <w:rPr>
          <w:b/>
          <w:sz w:val="28"/>
        </w:rPr>
        <w:t>保证金从基本账户转出承诺函</w:t>
      </w:r>
    </w:p>
    <w:p>
      <w:pPr>
        <w:pStyle w:val="21"/>
        <w:rPr>
          <w:b/>
          <w:sz w:val="28"/>
        </w:rPr>
      </w:pPr>
    </w:p>
    <w:p>
      <w:pPr>
        <w:pStyle w:val="21"/>
        <w:spacing w:before="9"/>
        <w:rPr>
          <w:b/>
          <w:sz w:val="28"/>
        </w:rPr>
      </w:pPr>
    </w:p>
    <w:p>
      <w:pPr>
        <w:pStyle w:val="21"/>
        <w:ind w:left="338"/>
      </w:pPr>
      <w:r>
        <w:rPr>
          <w:rFonts w:hint="eastAsia"/>
          <w:u w:val="single"/>
        </w:rPr>
        <w:t xml:space="preserve">                       （采购人）</w:t>
      </w:r>
      <w:r>
        <w:rPr>
          <w:u w:val="single"/>
        </w:rPr>
        <w:t>：</w:t>
      </w:r>
    </w:p>
    <w:p>
      <w:pPr>
        <w:pStyle w:val="21"/>
        <w:rPr>
          <w:sz w:val="20"/>
        </w:rPr>
      </w:pPr>
    </w:p>
    <w:p>
      <w:pPr>
        <w:pStyle w:val="21"/>
        <w:rPr>
          <w:sz w:val="20"/>
        </w:rPr>
      </w:pPr>
    </w:p>
    <w:p>
      <w:pPr>
        <w:pStyle w:val="21"/>
        <w:rPr>
          <w:sz w:val="20"/>
        </w:rPr>
      </w:pPr>
    </w:p>
    <w:p>
      <w:pPr>
        <w:pStyle w:val="21"/>
        <w:spacing w:before="2"/>
        <w:rPr>
          <w:sz w:val="14"/>
        </w:rPr>
      </w:pPr>
    </w:p>
    <w:p>
      <w:pPr>
        <w:pStyle w:val="21"/>
        <w:spacing w:before="77"/>
        <w:ind w:left="426" w:firstLine="484" w:firstLineChars="202"/>
        <w:rPr>
          <w:rFonts w:hAnsi="宋体" w:eastAsia="宋体"/>
        </w:rPr>
      </w:pPr>
      <w:r>
        <w:rPr>
          <w:rFonts w:hAnsi="宋体" w:eastAsia="宋体"/>
        </w:rPr>
        <w:t>我方承诺，</w:t>
      </w:r>
      <w:r>
        <w:rPr>
          <w:rFonts w:hAnsi="宋体" w:eastAsia="宋体"/>
          <w:u w:val="single"/>
        </w:rPr>
        <w:t xml:space="preserve"> </w:t>
      </w:r>
      <w:r>
        <w:rPr>
          <w:rFonts w:hint="eastAsia" w:hAnsi="宋体" w:eastAsia="宋体"/>
          <w:u w:val="single"/>
        </w:rPr>
        <w:t xml:space="preserve">                     （项目名称）</w:t>
      </w:r>
      <w:r>
        <w:rPr>
          <w:rFonts w:hAnsi="宋体" w:eastAsia="宋体"/>
          <w:u w:val="single"/>
        </w:rPr>
        <w:t xml:space="preserve"> </w:t>
      </w:r>
      <w:r>
        <w:rPr>
          <w:rFonts w:hint="eastAsia" w:hAnsi="宋体" w:eastAsia="宋体"/>
        </w:rPr>
        <w:t>谈判</w:t>
      </w:r>
      <w:r>
        <w:rPr>
          <w:rFonts w:hAnsi="宋体" w:eastAsia="宋体"/>
        </w:rPr>
        <w:t>我方所递交的</w:t>
      </w:r>
      <w:r>
        <w:rPr>
          <w:rFonts w:hint="eastAsia" w:hAnsi="宋体" w:eastAsia="宋体"/>
        </w:rPr>
        <w:t>谈判</w:t>
      </w:r>
      <w:r>
        <w:rPr>
          <w:rFonts w:hAnsi="宋体" w:eastAsia="宋体"/>
        </w:rPr>
        <w:t>保证金从我单位基本账户转出。</w:t>
      </w:r>
    </w:p>
    <w:p>
      <w:pPr>
        <w:pStyle w:val="21"/>
        <w:spacing w:before="77"/>
        <w:ind w:left="654"/>
        <w:rPr>
          <w:rFonts w:hAnsi="宋体" w:eastAsia="宋体"/>
        </w:rPr>
      </w:pPr>
    </w:p>
    <w:p>
      <w:pPr>
        <w:pStyle w:val="21"/>
        <w:spacing w:before="77"/>
        <w:ind w:left="654"/>
        <w:rPr>
          <w:rFonts w:hAnsi="宋体" w:eastAsia="宋体"/>
        </w:rPr>
      </w:pPr>
    </w:p>
    <w:p>
      <w:pPr>
        <w:pStyle w:val="21"/>
        <w:spacing w:before="10"/>
        <w:rPr>
          <w:rFonts w:hAnsi="宋体" w:eastAsia="宋体"/>
          <w:sz w:val="16"/>
        </w:rPr>
      </w:pPr>
    </w:p>
    <w:p>
      <w:pPr>
        <w:pStyle w:val="21"/>
        <w:tabs>
          <w:tab w:val="left" w:pos="9107"/>
        </w:tabs>
        <w:spacing w:before="1"/>
        <w:ind w:left="5747"/>
        <w:jc w:val="left"/>
        <w:rPr>
          <w:rFonts w:hAnsi="宋体" w:eastAsia="宋体"/>
        </w:rPr>
      </w:pPr>
      <w:r>
        <w:rPr>
          <w:rFonts w:hint="eastAsia" w:hAnsi="宋体" w:eastAsia="宋体"/>
        </w:rPr>
        <w:t>供应商</w:t>
      </w:r>
      <w:r>
        <w:rPr>
          <w:rFonts w:hAnsi="宋体" w:eastAsia="宋体"/>
        </w:rPr>
        <w:t>：</w:t>
      </w:r>
      <w:r>
        <w:rPr>
          <w:rFonts w:hAnsi="宋体" w:eastAsia="宋体"/>
          <w:u w:val="single"/>
        </w:rPr>
        <w:t xml:space="preserve"> </w:t>
      </w:r>
      <w:r>
        <w:rPr>
          <w:rFonts w:hint="eastAsia" w:hAnsi="宋体" w:eastAsia="宋体"/>
          <w:u w:val="single"/>
        </w:rPr>
        <w:t xml:space="preserve">     </w:t>
      </w:r>
      <w:r>
        <w:rPr>
          <w:rFonts w:hAnsi="宋体" w:eastAsia="宋体"/>
          <w:spacing w:val="-1"/>
        </w:rPr>
        <w:t>(盖</w:t>
      </w:r>
      <w:r>
        <w:rPr>
          <w:rFonts w:hAnsi="宋体" w:eastAsia="宋体"/>
        </w:rPr>
        <w:t>单位章)</w:t>
      </w:r>
    </w:p>
    <w:p>
      <w:pPr>
        <w:pStyle w:val="21"/>
        <w:rPr>
          <w:rFonts w:hAnsi="宋体" w:eastAsia="宋体"/>
          <w:sz w:val="15"/>
        </w:rPr>
      </w:pPr>
    </w:p>
    <w:p>
      <w:pPr>
        <w:spacing w:line="440" w:lineRule="exact"/>
        <w:jc w:val="right"/>
        <w:rPr>
          <w:szCs w:val="21"/>
        </w:rPr>
      </w:pP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jc w:val="center"/>
      </w:pPr>
    </w:p>
    <w:p>
      <w:pPr>
        <w:jc w:val="center"/>
        <w:outlineLvl w:val="1"/>
        <w:rPr>
          <w:b/>
          <w:bCs/>
          <w:sz w:val="28"/>
          <w:szCs w:val="28"/>
        </w:rPr>
      </w:pPr>
      <w:r>
        <w:rPr>
          <w:rFonts w:hint="eastAsia"/>
          <w:b/>
          <w:bCs/>
          <w:sz w:val="28"/>
          <w:szCs w:val="28"/>
        </w:rPr>
        <w:t>五、报价单</w:t>
      </w:r>
    </w:p>
    <w:p>
      <w:pPr>
        <w:spacing w:line="540" w:lineRule="exact"/>
        <w:jc w:val="center"/>
        <w:rPr>
          <w:sz w:val="18"/>
          <w:szCs w:val="18"/>
        </w:rPr>
      </w:pPr>
      <w:bookmarkStart w:id="112" w:name="_Toc4174"/>
      <w:r>
        <w:rPr>
          <w:rFonts w:hint="eastAsia"/>
          <w:sz w:val="18"/>
          <w:szCs w:val="18"/>
        </w:rPr>
        <w:t>（为方便唱报价，请将此页单独打印盖章密封在信封内）</w:t>
      </w:r>
    </w:p>
    <w:p>
      <w:pPr>
        <w:spacing w:line="540" w:lineRule="exact"/>
        <w:rPr>
          <w:szCs w:val="21"/>
        </w:rPr>
      </w:pPr>
      <w:r>
        <w:rPr>
          <w:sz w:val="28"/>
          <w:szCs w:val="28"/>
        </w:rPr>
        <w:t xml:space="preserve">                                             </w:t>
      </w:r>
    </w:p>
    <w:p>
      <w:pPr>
        <w:widowControl w:val="0"/>
        <w:autoSpaceDE w:val="0"/>
        <w:autoSpaceDN w:val="0"/>
        <w:adjustRightInd w:val="0"/>
      </w:pPr>
    </w:p>
    <w:tbl>
      <w:tblPr>
        <w:tblStyle w:val="38"/>
        <w:tblW w:w="0" w:type="auto"/>
        <w:tblInd w:w="12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3"/>
        <w:gridCol w:w="54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项目名称</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jc w:val="center"/>
            </w:pPr>
            <w:r>
              <w:rPr>
                <w:rFonts w:hint="eastAsia"/>
              </w:rPr>
              <w:t>投标报价（小写)</w:t>
            </w:r>
            <w:r>
              <w:t xml:space="preserve"> </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jc w:val="center"/>
            </w:pPr>
            <w:r>
              <w:rPr>
                <w:rFonts w:hint="eastAsia"/>
              </w:rPr>
              <w:t>投标报价（大写)</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服务周期</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1天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质量要求</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90"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备注</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税率：</w:t>
            </w:r>
          </w:p>
        </w:tc>
      </w:tr>
    </w:tbl>
    <w:p>
      <w:pPr>
        <w:spacing w:line="600" w:lineRule="exact"/>
      </w:pPr>
    </w:p>
    <w:p>
      <w:pPr>
        <w:spacing w:line="600" w:lineRule="exact"/>
      </w:pPr>
      <w:r>
        <w:rPr>
          <w:rFonts w:hint="eastAsia"/>
        </w:rPr>
        <w:t>供应商</w:t>
      </w:r>
      <w:r>
        <w:t>(</w:t>
      </w:r>
      <w:r>
        <w:rPr>
          <w:rFonts w:hint="eastAsia"/>
        </w:rPr>
        <w:t>盖章</w:t>
      </w:r>
      <w:r>
        <w:t>)</w:t>
      </w:r>
      <w:r>
        <w:rPr>
          <w:rFonts w:hint="eastAsia"/>
        </w:rPr>
        <w:t>：</w:t>
      </w:r>
    </w:p>
    <w:p>
      <w:pPr>
        <w:spacing w:line="600" w:lineRule="exact"/>
        <w:rPr>
          <w:u w:val="single"/>
        </w:rPr>
      </w:pPr>
      <w:r>
        <w:rPr>
          <w:rFonts w:hint="eastAsia"/>
        </w:rPr>
        <w:t>法定代表人或委托代理人（签字或盖章）：</w:t>
      </w:r>
    </w:p>
    <w:p>
      <w:pPr>
        <w:spacing w:before="163" w:beforeLines="50" w:after="163" w:afterLines="50"/>
      </w:pPr>
      <w:r>
        <w:rPr>
          <w:rFonts w:hint="eastAsia"/>
        </w:rPr>
        <w:t>日期：   年</w:t>
      </w:r>
      <w:r>
        <w:t xml:space="preserve">    </w:t>
      </w:r>
      <w:r>
        <w:rPr>
          <w:rFonts w:hint="eastAsia"/>
        </w:rPr>
        <w:t>月</w:t>
      </w:r>
      <w:r>
        <w:t xml:space="preserve">    </w:t>
      </w:r>
      <w:r>
        <w:rPr>
          <w:rFonts w:hint="eastAsia"/>
        </w:rPr>
        <w:t>日</w:t>
      </w:r>
      <w:r>
        <w:t xml:space="preserve">        </w:t>
      </w:r>
    </w:p>
    <w:p>
      <w:pPr>
        <w:pStyle w:val="2"/>
        <w:rPr>
          <w:color w:val="auto"/>
        </w:rPr>
      </w:pPr>
    </w:p>
    <w:p>
      <w:pPr>
        <w:pStyle w:val="3"/>
      </w:pPr>
    </w:p>
    <w:p>
      <w:pPr>
        <w:pStyle w:val="3"/>
      </w:pPr>
    </w:p>
    <w:p>
      <w:pPr>
        <w:pStyle w:val="3"/>
      </w:pPr>
    </w:p>
    <w:p>
      <w:pPr>
        <w:pStyle w:val="3"/>
      </w:pPr>
    </w:p>
    <w:p>
      <w:pPr>
        <w:pStyle w:val="3"/>
      </w:pPr>
    </w:p>
    <w:p/>
    <w:p/>
    <w:p/>
    <w:p/>
    <w:p/>
    <w:p>
      <w:pPr>
        <w:pStyle w:val="3"/>
        <w:jc w:val="center"/>
        <w:rPr>
          <w:b/>
          <w:bCs/>
          <w:sz w:val="28"/>
          <w:szCs w:val="28"/>
        </w:rPr>
      </w:pPr>
      <w:r>
        <w:rPr>
          <w:rFonts w:hint="eastAsia"/>
          <w:b/>
          <w:bCs/>
          <w:sz w:val="28"/>
          <w:szCs w:val="28"/>
        </w:rPr>
        <w:t>分项报价明细表</w:t>
      </w:r>
    </w:p>
    <w:p>
      <w:pPr>
        <w:pStyle w:val="16"/>
        <w:spacing w:line="360" w:lineRule="auto"/>
        <w:ind w:firstLine="0"/>
      </w:pPr>
      <w:r>
        <w:rPr>
          <w:rFonts w:hint="eastAsia"/>
        </w:rPr>
        <w:t xml:space="preserve">项目名称： </w:t>
      </w:r>
      <w:r>
        <w:t xml:space="preserve">                                        </w:t>
      </w:r>
      <w:r>
        <w:rPr>
          <w:rFonts w:hint="eastAsia"/>
        </w:rPr>
        <w:t>项目编号</w:t>
      </w:r>
    </w:p>
    <w:tbl>
      <w:tblPr>
        <w:tblStyle w:val="38"/>
        <w:tblW w:w="9878" w:type="dxa"/>
        <w:tblInd w:w="-147" w:type="dxa"/>
        <w:tblLayout w:type="autofit"/>
        <w:tblCellMar>
          <w:top w:w="0" w:type="dxa"/>
          <w:left w:w="108" w:type="dxa"/>
          <w:bottom w:w="0" w:type="dxa"/>
          <w:right w:w="108" w:type="dxa"/>
        </w:tblCellMar>
      </w:tblPr>
      <w:tblGrid>
        <w:gridCol w:w="732"/>
        <w:gridCol w:w="1101"/>
        <w:gridCol w:w="1096"/>
        <w:gridCol w:w="1579"/>
        <w:gridCol w:w="1056"/>
        <w:gridCol w:w="1212"/>
        <w:gridCol w:w="1036"/>
        <w:gridCol w:w="1274"/>
        <w:gridCol w:w="792"/>
      </w:tblGrid>
      <w:tr>
        <w:trPr>
          <w:trHeight w:val="309" w:hRule="atLeast"/>
        </w:trPr>
        <w:tc>
          <w:tcPr>
            <w:tcW w:w="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序号</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项目名称</w:t>
            </w:r>
          </w:p>
        </w:tc>
        <w:tc>
          <w:tcPr>
            <w:tcW w:w="267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描述</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数量</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单位</w:t>
            </w:r>
          </w:p>
        </w:tc>
        <w:tc>
          <w:tcPr>
            <w:tcW w:w="1036"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专票</w:t>
            </w:r>
          </w:p>
        </w:tc>
        <w:tc>
          <w:tcPr>
            <w:tcW w:w="1274"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含税小计</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color w:val="000000"/>
                <w:sz w:val="21"/>
                <w:szCs w:val="21"/>
              </w:rPr>
            </w:pPr>
            <w:r>
              <w:rPr>
                <w:rFonts w:hint="eastAsia"/>
                <w:b/>
                <w:bCs/>
                <w:color w:val="000000"/>
                <w:sz w:val="21"/>
                <w:szCs w:val="21"/>
              </w:rPr>
              <w:t>备注</w:t>
            </w:r>
          </w:p>
        </w:tc>
      </w:tr>
      <w:tr>
        <w:trPr>
          <w:trHeight w:val="309"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2675" w:type="dxa"/>
            <w:gridSpan w:val="2"/>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税率</w:t>
            </w:r>
          </w:p>
        </w:tc>
        <w:tc>
          <w:tcPr>
            <w:tcW w:w="1274" w:type="dxa"/>
            <w:tcBorders>
              <w:top w:val="nil"/>
              <w:left w:val="nil"/>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（元）</w:t>
            </w: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r>
      <w:tr>
        <w:trPr>
          <w:trHeight w:val="309" w:hRule="atLeast"/>
        </w:trPr>
        <w:tc>
          <w:tcPr>
            <w:tcW w:w="73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1</w:t>
            </w: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摄影/摄像费用</w:t>
            </w:r>
          </w:p>
        </w:tc>
        <w:tc>
          <w:tcPr>
            <w:tcW w:w="2675" w:type="dxa"/>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现场拍照</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0.5</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天</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2675" w:type="dxa"/>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视频拍摄及制作</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0.5</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天</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2675" w:type="dxa"/>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图片直播</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0.5</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天</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2675" w:type="dxa"/>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视频直播</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0.5</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天</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　</w:t>
            </w:r>
          </w:p>
        </w:tc>
      </w:tr>
      <w:tr>
        <w:trPr>
          <w:trHeight w:val="309" w:hRule="atLeast"/>
        </w:trPr>
        <w:tc>
          <w:tcPr>
            <w:tcW w:w="732" w:type="dxa"/>
            <w:vMerge w:val="restart"/>
            <w:tcBorders>
              <w:top w:val="nil"/>
              <w:left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2</w:t>
            </w:r>
          </w:p>
        </w:tc>
        <w:tc>
          <w:tcPr>
            <w:tcW w:w="1101" w:type="dxa"/>
            <w:vMerge w:val="restart"/>
            <w:tcBorders>
              <w:top w:val="nil"/>
              <w:left w:val="single" w:color="auto" w:sz="4" w:space="0"/>
              <w:right w:val="single" w:color="auto" w:sz="4" w:space="0"/>
            </w:tcBorders>
            <w:shd w:val="clear" w:color="auto" w:fill="auto"/>
            <w:vAlign w:val="center"/>
          </w:tcPr>
          <w:p>
            <w:pPr>
              <w:jc w:val="center"/>
              <w:rPr>
                <w:sz w:val="22"/>
                <w:szCs w:val="21"/>
              </w:rPr>
            </w:pPr>
            <w:r>
              <w:rPr>
                <w:rFonts w:hint="eastAsia"/>
                <w:sz w:val="21"/>
                <w:szCs w:val="21"/>
              </w:rPr>
              <w:t>场地搭建</w:t>
            </w: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非常规情境感舞台及观众区搭建</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sz w:val="21"/>
                <w:szCs w:val="21"/>
              </w:rPr>
              <w:t>Cave沉浸式空间</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sz w:val="21"/>
                <w:szCs w:val="21"/>
              </w:rPr>
              <w:t>Cave沉浸式素材制作</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每秒</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氛围感灯光、音箱</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场内、外物料</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艺术装置式背景板</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现场沉浸式主题阐释装置</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right w:val="single" w:color="auto" w:sz="4" w:space="0"/>
            </w:tcBorders>
            <w:shd w:val="clear" w:color="auto" w:fill="auto"/>
            <w:vAlign w:val="center"/>
          </w:tcPr>
          <w:p>
            <w:pPr>
              <w:jc w:val="center"/>
              <w:rPr>
                <w:color w:val="000000"/>
                <w:sz w:val="21"/>
                <w:szCs w:val="21"/>
              </w:rPr>
            </w:pPr>
          </w:p>
        </w:tc>
        <w:tc>
          <w:tcPr>
            <w:tcW w:w="1101" w:type="dxa"/>
            <w:vMerge w:val="continue"/>
            <w:tcBorders>
              <w:left w:val="single" w:color="auto" w:sz="4" w:space="0"/>
              <w:right w:val="single" w:color="auto" w:sz="4" w:space="0"/>
            </w:tcBorders>
            <w:shd w:val="clear" w:color="auto" w:fill="auto"/>
            <w:vAlign w:val="center"/>
          </w:tcPr>
          <w:p>
            <w:pPr>
              <w:jc w:val="center"/>
              <w:rPr>
                <w:sz w:val="21"/>
                <w:szCs w:val="21"/>
              </w:rPr>
            </w:pPr>
          </w:p>
        </w:tc>
        <w:tc>
          <w:tcPr>
            <w:tcW w:w="2675" w:type="dxa"/>
            <w:gridSpan w:val="2"/>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会场整体布置（灯光、舞台、屏幕等）</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p>
        </w:tc>
      </w:tr>
      <w:tr>
        <w:trPr>
          <w:trHeight w:val="309" w:hRule="atLeast"/>
        </w:trPr>
        <w:tc>
          <w:tcPr>
            <w:tcW w:w="732" w:type="dxa"/>
            <w:vMerge w:val="continue"/>
            <w:tcBorders>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left w:val="single" w:color="auto" w:sz="4" w:space="0"/>
              <w:bottom w:val="single" w:color="auto" w:sz="4" w:space="0"/>
              <w:right w:val="single" w:color="auto" w:sz="4" w:space="0"/>
            </w:tcBorders>
            <w:vAlign w:val="center"/>
          </w:tcPr>
          <w:p>
            <w:pPr>
              <w:rPr>
                <w:sz w:val="21"/>
                <w:szCs w:val="21"/>
              </w:rPr>
            </w:pPr>
          </w:p>
        </w:tc>
        <w:tc>
          <w:tcPr>
            <w:tcW w:w="2675" w:type="dxa"/>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sz w:val="21"/>
                <w:szCs w:val="21"/>
              </w:rPr>
              <w:t>其他</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r>
              <w:rPr>
                <w:rFonts w:hint="eastAsia"/>
                <w:color w:val="FF0000"/>
                <w:sz w:val="21"/>
                <w:szCs w:val="21"/>
              </w:rPr>
              <w:t>　</w:t>
            </w: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r>
              <w:rPr>
                <w:rFonts w:hint="eastAsia"/>
                <w:color w:val="FF0000"/>
                <w:sz w:val="21"/>
                <w:szCs w:val="21"/>
              </w:rPr>
              <w:t>　</w:t>
            </w:r>
          </w:p>
        </w:tc>
      </w:tr>
      <w:tr>
        <w:trPr>
          <w:trHeight w:val="309"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3</w:t>
            </w:r>
          </w:p>
        </w:tc>
        <w:tc>
          <w:tcPr>
            <w:tcW w:w="1101"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节目表演</w:t>
            </w:r>
          </w:p>
        </w:tc>
        <w:tc>
          <w:tcPr>
            <w:tcW w:w="2675" w:type="dxa"/>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时长3-5分钟</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FF0000"/>
                <w:sz w:val="21"/>
                <w:szCs w:val="21"/>
              </w:rPr>
            </w:pPr>
            <w:r>
              <w:rPr>
                <w:rFonts w:hint="eastAsia"/>
                <w:color w:val="FF0000"/>
                <w:sz w:val="21"/>
                <w:szCs w:val="21"/>
              </w:rPr>
              <w:t>　</w:t>
            </w:r>
          </w:p>
        </w:tc>
        <w:tc>
          <w:tcPr>
            <w:tcW w:w="792" w:type="dxa"/>
            <w:tcBorders>
              <w:top w:val="nil"/>
              <w:left w:val="nil"/>
              <w:bottom w:val="single" w:color="auto" w:sz="4" w:space="0"/>
              <w:right w:val="single" w:color="auto" w:sz="4" w:space="0"/>
            </w:tcBorders>
            <w:shd w:val="clear" w:color="auto" w:fill="auto"/>
            <w:noWrap/>
            <w:vAlign w:val="center"/>
          </w:tcPr>
          <w:p>
            <w:pPr>
              <w:rPr>
                <w:color w:val="FF0000"/>
                <w:sz w:val="21"/>
                <w:szCs w:val="21"/>
              </w:rPr>
            </w:pPr>
            <w:r>
              <w:rPr>
                <w:rFonts w:hint="eastAsia"/>
                <w:color w:val="FF0000"/>
                <w:sz w:val="21"/>
                <w:szCs w:val="21"/>
              </w:rPr>
              <w:t>　</w:t>
            </w:r>
          </w:p>
        </w:tc>
      </w:tr>
      <w:tr>
        <w:trPr>
          <w:trHeight w:val="309" w:hRule="atLeast"/>
        </w:trPr>
        <w:tc>
          <w:tcPr>
            <w:tcW w:w="73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4</w:t>
            </w: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物料费用</w:t>
            </w:r>
          </w:p>
        </w:tc>
        <w:tc>
          <w:tcPr>
            <w:tcW w:w="109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实物</w:t>
            </w: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证书</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230</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096" w:type="dxa"/>
            <w:vMerge w:val="continue"/>
            <w:tcBorders>
              <w:top w:val="nil"/>
              <w:left w:val="single" w:color="auto" w:sz="4" w:space="0"/>
              <w:bottom w:val="single" w:color="auto" w:sz="4" w:space="0"/>
              <w:right w:val="single" w:color="auto" w:sz="4" w:space="0"/>
            </w:tcBorders>
            <w:vAlign w:val="center"/>
          </w:tcPr>
          <w:p>
            <w:pPr>
              <w:jc w:val="center"/>
              <w:rPr>
                <w:sz w:val="21"/>
                <w:szCs w:val="21"/>
              </w:rPr>
            </w:pP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奖杯</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230</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096" w:type="dxa"/>
            <w:vMerge w:val="continue"/>
            <w:tcBorders>
              <w:top w:val="nil"/>
              <w:left w:val="single" w:color="auto" w:sz="4" w:space="0"/>
              <w:bottom w:val="single" w:color="auto" w:sz="4" w:space="0"/>
              <w:right w:val="single" w:color="auto" w:sz="4" w:space="0"/>
            </w:tcBorders>
            <w:vAlign w:val="center"/>
          </w:tcPr>
          <w:p>
            <w:pPr>
              <w:jc w:val="center"/>
              <w:rPr>
                <w:sz w:val="21"/>
                <w:szCs w:val="21"/>
              </w:rPr>
            </w:pP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纸质欢迎函</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230</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096" w:type="dxa"/>
            <w:vMerge w:val="continue"/>
            <w:tcBorders>
              <w:top w:val="nil"/>
              <w:left w:val="single" w:color="auto" w:sz="4" w:space="0"/>
              <w:bottom w:val="single" w:color="auto" w:sz="4" w:space="0"/>
              <w:right w:val="single" w:color="auto" w:sz="4" w:space="0"/>
            </w:tcBorders>
            <w:vAlign w:val="center"/>
          </w:tcPr>
          <w:p>
            <w:pPr>
              <w:jc w:val="center"/>
              <w:rPr>
                <w:sz w:val="21"/>
                <w:szCs w:val="21"/>
              </w:rPr>
            </w:pP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sz w:val="21"/>
                <w:szCs w:val="21"/>
              </w:rPr>
              <w:t>主持人手卡</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20</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09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电子</w:t>
            </w: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邀请函H5</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096"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预热海报</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vMerge w:val="continue"/>
            <w:tcBorders>
              <w:top w:val="nil"/>
              <w:left w:val="single" w:color="auto" w:sz="4" w:space="0"/>
              <w:bottom w:val="single" w:color="auto" w:sz="4" w:space="0"/>
              <w:right w:val="single" w:color="auto" w:sz="4" w:space="0"/>
            </w:tcBorders>
            <w:vAlign w:val="center"/>
          </w:tcPr>
          <w:p>
            <w:pPr>
              <w:rPr>
                <w:color w:val="000000"/>
                <w:sz w:val="21"/>
                <w:szCs w:val="21"/>
              </w:rPr>
            </w:pPr>
          </w:p>
        </w:tc>
        <w:tc>
          <w:tcPr>
            <w:tcW w:w="1101"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096" w:type="dxa"/>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颁奖视频</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5</w:t>
            </w:r>
          </w:p>
        </w:tc>
        <w:tc>
          <w:tcPr>
            <w:tcW w:w="1101"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运输费用</w:t>
            </w:r>
          </w:p>
        </w:tc>
        <w:tc>
          <w:tcPr>
            <w:tcW w:w="1096"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6</w:t>
            </w:r>
          </w:p>
        </w:tc>
        <w:tc>
          <w:tcPr>
            <w:tcW w:w="1101"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人员服务</w:t>
            </w:r>
          </w:p>
        </w:tc>
        <w:tc>
          <w:tcPr>
            <w:tcW w:w="1096"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309"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7</w:t>
            </w:r>
          </w:p>
        </w:tc>
        <w:tc>
          <w:tcPr>
            <w:tcW w:w="1101"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其他</w:t>
            </w:r>
          </w:p>
        </w:tc>
        <w:tc>
          <w:tcPr>
            <w:tcW w:w="1096"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57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21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w:t>
            </w:r>
          </w:p>
        </w:tc>
        <w:tc>
          <w:tcPr>
            <w:tcW w:w="1274"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r>
      <w:tr>
        <w:trPr>
          <w:trHeight w:val="587"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1101"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不含税合计（元）</w:t>
            </w:r>
          </w:p>
        </w:tc>
        <w:tc>
          <w:tcPr>
            <w:tcW w:w="1096" w:type="dxa"/>
            <w:tcBorders>
              <w:top w:val="nil"/>
              <w:left w:val="nil"/>
              <w:bottom w:val="single" w:color="auto" w:sz="4" w:space="0"/>
              <w:right w:val="single" w:color="auto" w:sz="4" w:space="0"/>
            </w:tcBorders>
            <w:shd w:val="clear" w:color="auto" w:fill="auto"/>
          </w:tcPr>
          <w:p>
            <w:pPr>
              <w:rPr>
                <w:sz w:val="21"/>
                <w:szCs w:val="21"/>
              </w:rPr>
            </w:pPr>
            <w:r>
              <w:rPr>
                <w:sz w:val="21"/>
                <w:szCs w:val="21"/>
              </w:rPr>
              <w:t>　</w:t>
            </w:r>
          </w:p>
        </w:tc>
        <w:tc>
          <w:tcPr>
            <w:tcW w:w="157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05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sz w:val="21"/>
                <w:szCs w:val="21"/>
              </w:rPr>
            </w:pPr>
          </w:p>
        </w:tc>
        <w:tc>
          <w:tcPr>
            <w:tcW w:w="1274" w:type="dxa"/>
            <w:tcBorders>
              <w:top w:val="nil"/>
              <w:left w:val="nil"/>
              <w:bottom w:val="single" w:color="auto" w:sz="4" w:space="0"/>
              <w:right w:val="single" w:color="auto" w:sz="4" w:space="0"/>
            </w:tcBorders>
            <w:shd w:val="clear" w:color="auto" w:fill="auto"/>
            <w:vAlign w:val="center"/>
          </w:tcPr>
          <w:p>
            <w:pPr>
              <w:rPr>
                <w:color w:val="000000"/>
                <w:sz w:val="21"/>
                <w:szCs w:val="21"/>
              </w:rPr>
            </w:pPr>
            <w:r>
              <w:rPr>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rPr>
                <w:color w:val="000000"/>
                <w:sz w:val="21"/>
                <w:szCs w:val="21"/>
              </w:rPr>
            </w:pPr>
            <w:r>
              <w:rPr>
                <w:color w:val="000000"/>
                <w:sz w:val="21"/>
                <w:szCs w:val="21"/>
              </w:rPr>
              <w:t>　</w:t>
            </w:r>
          </w:p>
        </w:tc>
      </w:tr>
      <w:tr>
        <w:trPr>
          <w:trHeight w:val="309"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1101"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税费</w:t>
            </w:r>
          </w:p>
        </w:tc>
        <w:tc>
          <w:tcPr>
            <w:tcW w:w="1096" w:type="dxa"/>
            <w:tcBorders>
              <w:top w:val="nil"/>
              <w:left w:val="nil"/>
              <w:bottom w:val="single" w:color="auto" w:sz="4" w:space="0"/>
              <w:right w:val="single" w:color="auto" w:sz="4" w:space="0"/>
            </w:tcBorders>
            <w:shd w:val="clear" w:color="auto" w:fill="auto"/>
          </w:tcPr>
          <w:p>
            <w:pPr>
              <w:rPr>
                <w:color w:val="000000"/>
                <w:sz w:val="21"/>
                <w:szCs w:val="21"/>
              </w:rPr>
            </w:pPr>
            <w:r>
              <w:rPr>
                <w:color w:val="000000"/>
                <w:sz w:val="21"/>
                <w:szCs w:val="21"/>
              </w:rPr>
              <w:t>　</w:t>
            </w:r>
          </w:p>
        </w:tc>
        <w:tc>
          <w:tcPr>
            <w:tcW w:w="1579"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1056"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p>
        </w:tc>
        <w:tc>
          <w:tcPr>
            <w:tcW w:w="1274" w:type="dxa"/>
            <w:tcBorders>
              <w:top w:val="nil"/>
              <w:left w:val="nil"/>
              <w:bottom w:val="single" w:color="auto" w:sz="4" w:space="0"/>
              <w:right w:val="single" w:color="auto" w:sz="4" w:space="0"/>
            </w:tcBorders>
            <w:shd w:val="clear" w:color="auto" w:fill="auto"/>
            <w:vAlign w:val="center"/>
          </w:tcPr>
          <w:p>
            <w:pPr>
              <w:rPr>
                <w:color w:val="000000"/>
                <w:sz w:val="21"/>
                <w:szCs w:val="21"/>
              </w:rPr>
            </w:pPr>
            <w:r>
              <w:rPr>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rPr>
                <w:color w:val="000000"/>
                <w:sz w:val="21"/>
                <w:szCs w:val="21"/>
              </w:rPr>
            </w:pPr>
            <w:r>
              <w:rPr>
                <w:color w:val="000000"/>
                <w:sz w:val="21"/>
                <w:szCs w:val="21"/>
              </w:rPr>
              <w:t>　</w:t>
            </w:r>
          </w:p>
        </w:tc>
      </w:tr>
      <w:tr>
        <w:trPr>
          <w:trHeight w:val="587" w:hRule="atLeast"/>
        </w:trPr>
        <w:tc>
          <w:tcPr>
            <w:tcW w:w="732" w:type="dxa"/>
            <w:tcBorders>
              <w:top w:val="nil"/>
              <w:left w:val="single" w:color="auto" w:sz="4" w:space="0"/>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　</w:t>
            </w:r>
          </w:p>
        </w:tc>
        <w:tc>
          <w:tcPr>
            <w:tcW w:w="1101" w:type="dxa"/>
            <w:tcBorders>
              <w:top w:val="nil"/>
              <w:left w:val="nil"/>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含税合计（元）</w:t>
            </w:r>
          </w:p>
        </w:tc>
        <w:tc>
          <w:tcPr>
            <w:tcW w:w="1096" w:type="dxa"/>
            <w:tcBorders>
              <w:top w:val="nil"/>
              <w:left w:val="nil"/>
              <w:bottom w:val="single" w:color="auto" w:sz="4" w:space="0"/>
              <w:right w:val="single" w:color="auto" w:sz="4" w:space="0"/>
            </w:tcBorders>
            <w:shd w:val="clear" w:color="auto" w:fill="auto"/>
          </w:tcPr>
          <w:p>
            <w:pPr>
              <w:rPr>
                <w:color w:val="000000"/>
                <w:sz w:val="21"/>
                <w:szCs w:val="21"/>
              </w:rPr>
            </w:pPr>
            <w:r>
              <w:rPr>
                <w:color w:val="000000"/>
                <w:sz w:val="21"/>
                <w:szCs w:val="21"/>
              </w:rPr>
              <w:t>　</w:t>
            </w:r>
          </w:p>
        </w:tc>
        <w:tc>
          <w:tcPr>
            <w:tcW w:w="1579" w:type="dxa"/>
            <w:tcBorders>
              <w:top w:val="nil"/>
              <w:left w:val="nil"/>
              <w:bottom w:val="single" w:color="auto" w:sz="4" w:space="0"/>
              <w:right w:val="single" w:color="auto" w:sz="4" w:space="0"/>
            </w:tcBorders>
            <w:shd w:val="clear" w:color="auto" w:fill="auto"/>
            <w:vAlign w:val="center"/>
          </w:tcPr>
          <w:p>
            <w:pPr>
              <w:jc w:val="center"/>
              <w:rPr>
                <w:b/>
                <w:bCs/>
                <w:color w:val="000000"/>
                <w:sz w:val="21"/>
                <w:szCs w:val="21"/>
              </w:rPr>
            </w:pPr>
            <w:r>
              <w:rPr>
                <w:rFonts w:hint="eastAsia"/>
                <w:b/>
                <w:bCs/>
                <w:color w:val="000000"/>
                <w:sz w:val="21"/>
                <w:szCs w:val="21"/>
              </w:rPr>
              <w:t>　</w:t>
            </w:r>
          </w:p>
        </w:tc>
        <w:tc>
          <w:tcPr>
            <w:tcW w:w="1056"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r>
              <w:rPr>
                <w:rFonts w:hint="eastAsia"/>
                <w:color w:val="00000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　</w:t>
            </w:r>
          </w:p>
        </w:tc>
        <w:tc>
          <w:tcPr>
            <w:tcW w:w="1036" w:type="dxa"/>
            <w:tcBorders>
              <w:top w:val="nil"/>
              <w:left w:val="nil"/>
              <w:bottom w:val="single" w:color="auto" w:sz="4" w:space="0"/>
              <w:right w:val="single" w:color="auto" w:sz="4" w:space="0"/>
            </w:tcBorders>
            <w:shd w:val="clear" w:color="auto" w:fill="auto"/>
            <w:vAlign w:val="center"/>
          </w:tcPr>
          <w:p>
            <w:pPr>
              <w:jc w:val="center"/>
              <w:rPr>
                <w:color w:val="000000"/>
                <w:sz w:val="21"/>
                <w:szCs w:val="21"/>
              </w:rPr>
            </w:pPr>
          </w:p>
        </w:tc>
        <w:tc>
          <w:tcPr>
            <w:tcW w:w="1274" w:type="dxa"/>
            <w:tcBorders>
              <w:top w:val="nil"/>
              <w:left w:val="nil"/>
              <w:bottom w:val="single" w:color="auto" w:sz="4" w:space="0"/>
              <w:right w:val="single" w:color="auto" w:sz="4" w:space="0"/>
            </w:tcBorders>
            <w:shd w:val="clear" w:color="auto" w:fill="auto"/>
            <w:vAlign w:val="center"/>
          </w:tcPr>
          <w:p>
            <w:pPr>
              <w:rPr>
                <w:color w:val="000000"/>
                <w:sz w:val="21"/>
                <w:szCs w:val="21"/>
              </w:rPr>
            </w:pPr>
            <w:r>
              <w:rPr>
                <w:color w:val="000000"/>
                <w:sz w:val="21"/>
                <w:szCs w:val="21"/>
              </w:rPr>
              <w:t>　</w:t>
            </w:r>
          </w:p>
        </w:tc>
        <w:tc>
          <w:tcPr>
            <w:tcW w:w="792" w:type="dxa"/>
            <w:tcBorders>
              <w:top w:val="nil"/>
              <w:left w:val="nil"/>
              <w:bottom w:val="single" w:color="auto" w:sz="4" w:space="0"/>
              <w:right w:val="single" w:color="auto" w:sz="4" w:space="0"/>
            </w:tcBorders>
            <w:shd w:val="clear" w:color="auto" w:fill="auto"/>
            <w:vAlign w:val="center"/>
          </w:tcPr>
          <w:p>
            <w:pPr>
              <w:rPr>
                <w:color w:val="000000"/>
                <w:sz w:val="21"/>
                <w:szCs w:val="21"/>
              </w:rPr>
            </w:pPr>
            <w:r>
              <w:rPr>
                <w:color w:val="000000"/>
                <w:sz w:val="21"/>
                <w:szCs w:val="21"/>
              </w:rPr>
              <w:t>　</w:t>
            </w:r>
          </w:p>
        </w:tc>
      </w:tr>
    </w:tbl>
    <w:p>
      <w:pPr>
        <w:pStyle w:val="25"/>
        <w:spacing w:line="360" w:lineRule="auto"/>
        <w:ind w:firstLine="210" w:firstLineChars="100"/>
        <w:rPr>
          <w:rFonts w:hAnsi="宋体" w:cs="宋体"/>
          <w:b/>
        </w:rPr>
      </w:pPr>
      <w:r>
        <w:rPr>
          <w:rFonts w:hint="eastAsia" w:hAnsi="宋体" w:cs="宋体"/>
          <w:b/>
        </w:rPr>
        <w:t>注：上述费用为包干价，包括涉及所有服务项目费用及税费。</w:t>
      </w:r>
    </w:p>
    <w:p>
      <w:pPr>
        <w:spacing w:line="600" w:lineRule="exact"/>
      </w:pPr>
      <w:r>
        <w:rPr>
          <w:rFonts w:hint="eastAsia"/>
        </w:rPr>
        <w:t>供应商</w:t>
      </w:r>
      <w:r>
        <w:t>(</w:t>
      </w:r>
      <w:r>
        <w:rPr>
          <w:rFonts w:hint="eastAsia"/>
        </w:rPr>
        <w:t>盖章</w:t>
      </w:r>
      <w:r>
        <w:t>)</w:t>
      </w:r>
      <w:r>
        <w:rPr>
          <w:rFonts w:hint="eastAsia"/>
        </w:rPr>
        <w:t>：</w:t>
      </w:r>
    </w:p>
    <w:p>
      <w:pPr>
        <w:spacing w:line="600" w:lineRule="exact"/>
        <w:rPr>
          <w:u w:val="single"/>
        </w:rPr>
      </w:pPr>
      <w:r>
        <w:rPr>
          <w:rFonts w:hint="eastAsia"/>
        </w:rPr>
        <w:t>法定代表人或委托代理人（签字或盖章）：</w:t>
      </w:r>
    </w:p>
    <w:p>
      <w:pPr>
        <w:spacing w:before="163" w:beforeLines="50" w:after="163" w:afterLines="50"/>
        <w:rPr>
          <w:sz w:val="28"/>
          <w:szCs w:val="28"/>
        </w:rPr>
      </w:pPr>
      <w:r>
        <w:rPr>
          <w:rFonts w:hint="eastAsia"/>
        </w:rPr>
        <w:t>日期：   年</w:t>
      </w:r>
      <w:r>
        <w:t xml:space="preserve">    </w:t>
      </w:r>
      <w:r>
        <w:rPr>
          <w:rFonts w:hint="eastAsia"/>
        </w:rPr>
        <w:t>月</w:t>
      </w:r>
      <w:r>
        <w:t xml:space="preserve">    </w:t>
      </w:r>
      <w:r>
        <w:rPr>
          <w:rFonts w:hint="eastAsia"/>
        </w:rPr>
        <w:t>日</w:t>
      </w:r>
      <w:r>
        <w:t xml:space="preserve">     </w:t>
      </w:r>
      <w:r>
        <w:rPr>
          <w:sz w:val="28"/>
          <w:szCs w:val="28"/>
        </w:rPr>
        <w:t xml:space="preserve">   </w:t>
      </w:r>
    </w:p>
    <w:p>
      <w:pPr>
        <w:jc w:val="center"/>
        <w:outlineLvl w:val="1"/>
        <w:rPr>
          <w:b/>
          <w:bCs/>
          <w:sz w:val="28"/>
          <w:szCs w:val="28"/>
        </w:rPr>
      </w:pPr>
      <w:r>
        <w:rPr>
          <w:rFonts w:hint="eastAsia"/>
          <w:b/>
          <w:bCs/>
          <w:sz w:val="28"/>
          <w:szCs w:val="28"/>
        </w:rPr>
        <w:t>六、供应商基本情况表</w:t>
      </w:r>
      <w:bookmarkEnd w:id="112"/>
    </w:p>
    <w:p>
      <w:pPr>
        <w:pStyle w:val="95"/>
        <w:ind w:firstLine="562"/>
        <w:jc w:val="center"/>
        <w:rPr>
          <w:rFonts w:ascii="宋体" w:hAnsi="宋体" w:eastAsia="宋体"/>
          <w:b/>
          <w:bCs/>
          <w:sz w:val="28"/>
          <w:szCs w:val="28"/>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080"/>
        <w:gridCol w:w="1080"/>
        <w:gridCol w:w="19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5"/>
          </w:tcPr>
          <w:p>
            <w:pPr>
              <w:spacing w:before="163" w:beforeLines="50" w:after="163" w:afterLines="50" w:line="360" w:lineRule="auto"/>
              <w:rPr>
                <w:szCs w:val="21"/>
              </w:rPr>
            </w:pPr>
            <w:r>
              <w:rPr>
                <w:rFonts w:hint="eastAsia"/>
                <w:szCs w:val="21"/>
              </w:rPr>
              <w:t>供应商</w:t>
            </w:r>
            <w:r>
              <w:rPr>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公司名称</w:t>
            </w:r>
          </w:p>
        </w:tc>
        <w:tc>
          <w:tcPr>
            <w:tcW w:w="6660" w:type="dxa"/>
            <w:gridSpan w:val="4"/>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经营范围</w:t>
            </w:r>
          </w:p>
        </w:tc>
        <w:tc>
          <w:tcPr>
            <w:tcW w:w="6660" w:type="dxa"/>
            <w:gridSpan w:val="4"/>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成立日期</w:t>
            </w:r>
          </w:p>
        </w:tc>
        <w:tc>
          <w:tcPr>
            <w:tcW w:w="6660" w:type="dxa"/>
            <w:gridSpan w:val="4"/>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经营年限</w:t>
            </w:r>
          </w:p>
        </w:tc>
        <w:tc>
          <w:tcPr>
            <w:tcW w:w="6660" w:type="dxa"/>
            <w:gridSpan w:val="4"/>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公司地址</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jc w:val="center"/>
              <w:rPr>
                <w:szCs w:val="21"/>
              </w:rPr>
            </w:pPr>
            <w:r>
              <w:rPr>
                <w:szCs w:val="21"/>
              </w:rPr>
              <w:t>邮政编码</w:t>
            </w:r>
          </w:p>
        </w:tc>
        <w:tc>
          <w:tcPr>
            <w:tcW w:w="252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center"/>
          </w:tcPr>
          <w:p>
            <w:pPr>
              <w:spacing w:before="163" w:beforeLines="50" w:after="163" w:afterLines="50" w:line="360" w:lineRule="auto"/>
              <w:rPr>
                <w:szCs w:val="21"/>
              </w:rPr>
            </w:pPr>
            <w:r>
              <w:rPr>
                <w:szCs w:val="21"/>
              </w:rPr>
              <w:t>联系地址</w:t>
            </w:r>
          </w:p>
        </w:tc>
        <w:tc>
          <w:tcPr>
            <w:tcW w:w="6660" w:type="dxa"/>
            <w:gridSpan w:val="4"/>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电话</w:t>
            </w:r>
          </w:p>
        </w:tc>
        <w:tc>
          <w:tcPr>
            <w:tcW w:w="1080" w:type="dxa"/>
          </w:tcPr>
          <w:p>
            <w:pPr>
              <w:spacing w:before="163" w:beforeLines="50" w:after="163" w:afterLines="50" w:line="360" w:lineRule="auto"/>
              <w:jc w:val="center"/>
              <w:rPr>
                <w:szCs w:val="21"/>
              </w:rPr>
            </w:pPr>
            <w:r>
              <w:rPr>
                <w:szCs w:val="21"/>
              </w:rPr>
              <w:t>地区号码</w:t>
            </w:r>
          </w:p>
        </w:tc>
        <w:tc>
          <w:tcPr>
            <w:tcW w:w="1080" w:type="dxa"/>
          </w:tcPr>
          <w:p>
            <w:pPr>
              <w:spacing w:before="163" w:beforeLines="50" w:after="163" w:afterLines="50" w:line="360" w:lineRule="auto"/>
              <w:rPr>
                <w:szCs w:val="21"/>
              </w:rPr>
            </w:pPr>
          </w:p>
        </w:tc>
        <w:tc>
          <w:tcPr>
            <w:tcW w:w="1980" w:type="dxa"/>
          </w:tcPr>
          <w:p>
            <w:pPr>
              <w:spacing w:before="163" w:beforeLines="50" w:after="163" w:afterLines="50" w:line="360" w:lineRule="auto"/>
              <w:jc w:val="center"/>
              <w:rPr>
                <w:szCs w:val="21"/>
              </w:rPr>
            </w:pPr>
            <w:r>
              <w:rPr>
                <w:szCs w:val="21"/>
              </w:rPr>
              <w:t>电话号</w:t>
            </w:r>
          </w:p>
        </w:tc>
        <w:tc>
          <w:tcPr>
            <w:tcW w:w="252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传真</w:t>
            </w:r>
          </w:p>
        </w:tc>
        <w:tc>
          <w:tcPr>
            <w:tcW w:w="6660" w:type="dxa"/>
            <w:gridSpan w:val="4"/>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5"/>
          </w:tcPr>
          <w:p>
            <w:pPr>
              <w:spacing w:before="163" w:beforeLines="50" w:after="163" w:afterLines="50" w:line="360" w:lineRule="auto"/>
              <w:jc w:val="center"/>
              <w:rPr>
                <w:szCs w:val="21"/>
              </w:rPr>
            </w:pPr>
            <w:r>
              <w:rPr>
                <w:szCs w:val="21"/>
              </w:rPr>
              <w:t>　联系人员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1908" w:type="dxa"/>
          </w:tcPr>
          <w:p>
            <w:pPr>
              <w:spacing w:before="163" w:beforeLines="50" w:after="163" w:afterLines="50" w:line="360" w:lineRule="auto"/>
              <w:rPr>
                <w:szCs w:val="21"/>
              </w:rPr>
            </w:pPr>
          </w:p>
        </w:tc>
        <w:tc>
          <w:tcPr>
            <w:tcW w:w="2160" w:type="dxa"/>
            <w:gridSpan w:val="2"/>
          </w:tcPr>
          <w:p>
            <w:pPr>
              <w:spacing w:before="163" w:beforeLines="50" w:after="163" w:afterLines="50" w:line="360" w:lineRule="auto"/>
              <w:jc w:val="center"/>
              <w:rPr>
                <w:szCs w:val="21"/>
              </w:rPr>
            </w:pPr>
            <w:r>
              <w:rPr>
                <w:szCs w:val="21"/>
              </w:rPr>
              <w:t>全面管理</w:t>
            </w:r>
          </w:p>
        </w:tc>
        <w:tc>
          <w:tcPr>
            <w:tcW w:w="1980" w:type="dxa"/>
          </w:tcPr>
          <w:p>
            <w:pPr>
              <w:spacing w:before="163" w:beforeLines="50" w:after="163" w:afterLines="50" w:line="360" w:lineRule="auto"/>
              <w:jc w:val="center"/>
              <w:rPr>
                <w:szCs w:val="21"/>
              </w:rPr>
            </w:pPr>
            <w:r>
              <w:rPr>
                <w:szCs w:val="21"/>
              </w:rPr>
              <w:t>技术人员</w:t>
            </w:r>
          </w:p>
        </w:tc>
        <w:tc>
          <w:tcPr>
            <w:tcW w:w="2520" w:type="dxa"/>
          </w:tcPr>
          <w:p>
            <w:pPr>
              <w:spacing w:before="163" w:beforeLines="50" w:after="163" w:afterLines="50" w:line="360" w:lineRule="auto"/>
              <w:jc w:val="center"/>
              <w:rPr>
                <w:szCs w:val="21"/>
              </w:rPr>
            </w:pPr>
            <w:r>
              <w:rPr>
                <w:szCs w:val="21"/>
              </w:rPr>
              <w:t>财务人员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姓名</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职务</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电话</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5"/>
          </w:tcPr>
          <w:p>
            <w:pPr>
              <w:spacing w:before="163" w:beforeLines="50" w:after="163" w:afterLines="50" w:line="360" w:lineRule="auto"/>
              <w:jc w:val="center"/>
              <w:rPr>
                <w:szCs w:val="21"/>
              </w:rPr>
            </w:pPr>
            <w:r>
              <w:rPr>
                <w:szCs w:val="21"/>
              </w:rPr>
              <w:t>　授权声明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5"/>
          </w:tcPr>
          <w:p>
            <w:pPr>
              <w:spacing w:before="163" w:beforeLines="50" w:after="163" w:afterLines="50" w:line="360" w:lineRule="auto"/>
              <w:ind w:firstLine="360"/>
              <w:rPr>
                <w:szCs w:val="21"/>
              </w:rPr>
            </w:pPr>
            <w:r>
              <w:rPr>
                <w:szCs w:val="21"/>
              </w:rPr>
              <w:t>在此我们保证上述基本信息及有关证明材料的真实性，并授权</w:t>
            </w:r>
            <w:r>
              <w:rPr>
                <w:szCs w:val="21"/>
                <w:u w:val="single"/>
              </w:rPr>
              <w:t>　　　　　</w:t>
            </w:r>
            <w:r>
              <w:rPr>
                <w:szCs w:val="21"/>
              </w:rPr>
              <w:t>（先生/女士）代表我公司陈述和解释一切有关技术、法律和财务事宜。</w:t>
            </w:r>
          </w:p>
          <w:p>
            <w:pPr>
              <w:spacing w:before="163" w:beforeLines="50" w:after="163" w:afterLines="50" w:line="360" w:lineRule="auto"/>
              <w:ind w:firstLine="360"/>
              <w:rPr>
                <w:szCs w:val="21"/>
              </w:rPr>
            </w:pPr>
          </w:p>
          <w:p>
            <w:pPr>
              <w:spacing w:before="163" w:beforeLines="50" w:after="163" w:afterLines="50" w:line="360" w:lineRule="auto"/>
              <w:ind w:firstLine="360"/>
              <w:rPr>
                <w:szCs w:val="21"/>
              </w:rPr>
            </w:pPr>
            <w:r>
              <w:rPr>
                <w:szCs w:val="21"/>
              </w:rPr>
              <w:t>授权人：　　　　　　　　　　　　　　被授权人：</w:t>
            </w:r>
          </w:p>
          <w:p>
            <w:pPr>
              <w:spacing w:before="163" w:beforeLines="50" w:after="163" w:afterLines="50" w:line="360" w:lineRule="auto"/>
              <w:ind w:firstLine="360"/>
              <w:rPr>
                <w:szCs w:val="21"/>
              </w:rPr>
            </w:pPr>
            <w:r>
              <w:rPr>
                <w:szCs w:val="21"/>
              </w:rPr>
              <w:t>签　字：　　　　　　　　　　　　　　签　　字：</w:t>
            </w:r>
          </w:p>
          <w:p>
            <w:pPr>
              <w:spacing w:before="163" w:beforeLines="50" w:after="163" w:afterLines="50" w:line="360" w:lineRule="auto"/>
              <w:ind w:firstLine="360"/>
              <w:rPr>
                <w:szCs w:val="21"/>
              </w:rPr>
            </w:pPr>
            <w:r>
              <w:rPr>
                <w:szCs w:val="21"/>
              </w:rPr>
              <w:t>职　务：　　　　　　　　　　　　　　职　　务：</w:t>
            </w:r>
          </w:p>
          <w:p>
            <w:pPr>
              <w:spacing w:before="163" w:beforeLines="50" w:after="163" w:afterLines="50" w:line="360" w:lineRule="auto"/>
              <w:ind w:firstLine="360"/>
              <w:rPr>
                <w:szCs w:val="21"/>
              </w:rPr>
            </w:pPr>
            <w:r>
              <w:rPr>
                <w:szCs w:val="21"/>
              </w:rPr>
              <w:t>日　期：　　　　　　　　　　　　　　日　　期：</w:t>
            </w:r>
          </w:p>
        </w:tc>
      </w:tr>
    </w:tbl>
    <w:p>
      <w:pPr>
        <w:rPr>
          <w:b/>
          <w:sz w:val="28"/>
          <w:szCs w:val="28"/>
        </w:rPr>
      </w:pPr>
      <w:bookmarkStart w:id="113" w:name="_Toc151196725"/>
      <w:r>
        <w:br w:type="page"/>
      </w:r>
      <w:bookmarkEnd w:id="113"/>
    </w:p>
    <w:p>
      <w:pPr>
        <w:jc w:val="center"/>
        <w:outlineLvl w:val="1"/>
        <w:rPr>
          <w:b/>
          <w:bCs/>
          <w:sz w:val="28"/>
          <w:szCs w:val="28"/>
        </w:rPr>
      </w:pPr>
      <w:bookmarkStart w:id="114" w:name="_Toc8268"/>
      <w:r>
        <w:rPr>
          <w:rFonts w:hint="eastAsia"/>
          <w:b/>
          <w:bCs/>
          <w:sz w:val="28"/>
          <w:szCs w:val="28"/>
        </w:rPr>
        <w:t>七、资格审查资料</w:t>
      </w:r>
      <w:bookmarkEnd w:id="114"/>
    </w:p>
    <w:p>
      <w:pPr>
        <w:pStyle w:val="98"/>
        <w:spacing w:line="480" w:lineRule="auto"/>
        <w:ind w:firstLine="480"/>
        <w:rPr>
          <w:rFonts w:ascii="宋体" w:hAnsi="宋体" w:cs="宋体"/>
          <w:sz w:val="24"/>
        </w:rPr>
      </w:pPr>
      <w:r>
        <w:rPr>
          <w:rFonts w:hint="eastAsia" w:ascii="宋体" w:hAnsi="宋体" w:cs="宋体"/>
          <w:sz w:val="24"/>
        </w:rPr>
        <w:t>请依据供应商须知前附表中供应商资格要求提供</w:t>
      </w:r>
    </w:p>
    <w:p>
      <w:pPr>
        <w:pStyle w:val="2"/>
        <w:spacing w:line="360" w:lineRule="auto"/>
        <w:ind w:firstLine="480" w:firstLineChars="200"/>
        <w:rPr>
          <w:color w:val="auto"/>
        </w:rPr>
      </w:pPr>
      <w:r>
        <w:rPr>
          <w:rFonts w:hint="eastAsia"/>
          <w:color w:val="auto"/>
        </w:rPr>
        <w:t>（1）须在中华人民共和国境内合法注册、有法人资格和经营许可，具有独立承担民事责任的能力，</w:t>
      </w:r>
      <w:r>
        <w:rPr>
          <w:rFonts w:hint="eastAsia"/>
          <w:b/>
          <w:bCs/>
          <w:color w:val="auto"/>
        </w:rPr>
        <w:t>提供有效营业执照复印件盖公章</w:t>
      </w:r>
      <w:r>
        <w:rPr>
          <w:rFonts w:hint="eastAsia"/>
          <w:color w:val="auto"/>
        </w:rPr>
        <w:t>；</w:t>
      </w:r>
    </w:p>
    <w:p>
      <w:pPr>
        <w:pStyle w:val="2"/>
        <w:spacing w:line="360" w:lineRule="auto"/>
        <w:ind w:firstLine="480" w:firstLineChars="200"/>
        <w:rPr>
          <w:color w:val="auto"/>
        </w:rPr>
      </w:pPr>
      <w:r>
        <w:rPr>
          <w:rFonts w:hint="eastAsia"/>
          <w:color w:val="auto"/>
        </w:rPr>
        <w:t>（2）具有良好的商业信誉和健全的财务会计制度，</w:t>
      </w:r>
      <w:r>
        <w:rPr>
          <w:rFonts w:hint="eastAsia"/>
          <w:b/>
          <w:bCs/>
          <w:color w:val="auto"/>
        </w:rPr>
        <w:t>提供近三年（2</w:t>
      </w:r>
      <w:r>
        <w:rPr>
          <w:b/>
          <w:bCs/>
          <w:color w:val="auto"/>
        </w:rPr>
        <w:t>019-2022</w:t>
      </w:r>
      <w:r>
        <w:rPr>
          <w:rFonts w:hint="eastAsia"/>
          <w:b/>
          <w:bCs/>
          <w:color w:val="auto"/>
        </w:rPr>
        <w:t>）企业财务报表或第三方审计报告复印件盖公章；</w:t>
      </w:r>
    </w:p>
    <w:p>
      <w:pPr>
        <w:pStyle w:val="2"/>
        <w:spacing w:line="360" w:lineRule="auto"/>
        <w:ind w:firstLine="480" w:firstLineChars="200"/>
        <w:rPr>
          <w:color w:val="auto"/>
        </w:rPr>
      </w:pPr>
      <w:r>
        <w:rPr>
          <w:rFonts w:hint="eastAsia"/>
          <w:color w:val="auto"/>
        </w:rPr>
        <w:t>（3）具有履行合同所必需的设备和专业技术能力，</w:t>
      </w:r>
      <w:r>
        <w:rPr>
          <w:rFonts w:hint="eastAsia"/>
          <w:b/>
          <w:bCs/>
          <w:color w:val="auto"/>
        </w:rPr>
        <w:t>提供承诺书格式自拟</w:t>
      </w:r>
      <w:r>
        <w:rPr>
          <w:rFonts w:hint="eastAsia"/>
          <w:color w:val="auto"/>
        </w:rPr>
        <w:t>。</w:t>
      </w:r>
    </w:p>
    <w:p>
      <w:pPr>
        <w:pStyle w:val="2"/>
        <w:spacing w:line="360" w:lineRule="auto"/>
        <w:ind w:firstLine="480" w:firstLineChars="200"/>
        <w:rPr>
          <w:color w:val="auto"/>
        </w:rPr>
      </w:pPr>
      <w:r>
        <w:rPr>
          <w:rFonts w:hint="eastAsia"/>
          <w:color w:val="auto"/>
        </w:rPr>
        <w:t>（4）近三年内在经营活动中没有重大违法记录，</w:t>
      </w:r>
      <w:r>
        <w:rPr>
          <w:rFonts w:hint="eastAsia"/>
          <w:b/>
          <w:bCs/>
          <w:color w:val="auto"/>
        </w:rPr>
        <w:t>提供承诺书格式自拟</w:t>
      </w:r>
      <w:r>
        <w:rPr>
          <w:rFonts w:hint="eastAsia"/>
          <w:color w:val="auto"/>
        </w:rPr>
        <w:t>。</w:t>
      </w:r>
    </w:p>
    <w:p>
      <w:pPr>
        <w:topLinePunct/>
        <w:spacing w:line="360" w:lineRule="auto"/>
        <w:ind w:firstLine="480"/>
        <w:rPr>
          <w:rFonts w:hAnsi="Times New Roman"/>
        </w:rPr>
      </w:pPr>
      <w:r>
        <w:rPr>
          <w:rFonts w:hint="eastAsia" w:hAnsi="Times New Roman"/>
        </w:rPr>
        <w:t>（</w:t>
      </w:r>
      <w:r>
        <w:rPr>
          <w:rFonts w:hAnsi="Times New Roman"/>
        </w:rPr>
        <w:t>5</w:t>
      </w:r>
      <w:r>
        <w:rPr>
          <w:rFonts w:hint="eastAsia" w:hAnsi="Times New Roman"/>
        </w:rPr>
        <w:t>）在“信用中国”网站（www.creditchina.gov.cn）中未被列入失信被执行人和重大税收违法案件当事人；供应商提供查询网站截图，最终以采购代理机构查询为准。</w:t>
      </w:r>
    </w:p>
    <w:p>
      <w:pPr>
        <w:topLinePunct/>
        <w:spacing w:line="360" w:lineRule="auto"/>
        <w:ind w:firstLine="480"/>
        <w:jc w:val="center"/>
        <w:rPr>
          <w:shd w:val="clear" w:color="auto" w:fill="FFFFFF"/>
        </w:rPr>
      </w:pPr>
      <w:r>
        <w:rPr>
          <w:rFonts w:hAnsi="Times New Roman"/>
        </w:rPr>
        <w:t>1</w:t>
      </w:r>
      <w:r>
        <w:rPr>
          <w:rFonts w:hint="eastAsia" w:hAnsi="Times New Roman"/>
        </w:rPr>
        <w:t>）</w:t>
      </w:r>
      <w:r>
        <w:rPr>
          <w:rFonts w:hint="eastAsia"/>
          <w:shd w:val="clear" w:color="auto" w:fill="FFFFFF"/>
        </w:rPr>
        <w:t>失信被执行人截图请参照下图：</w:t>
      </w:r>
    </w:p>
    <w:p>
      <w:pPr>
        <w:topLinePunct/>
        <w:spacing w:line="360" w:lineRule="auto"/>
        <w:rPr>
          <w:shd w:val="clear" w:color="auto" w:fill="FFFFFF"/>
        </w:rPr>
      </w:pPr>
      <w:r>
        <w:rPr>
          <w:shd w:val="clear" w:color="auto" w:fill="FFFFFF"/>
        </w:rPr>
        <w:drawing>
          <wp:inline distT="0" distB="0" distL="0" distR="0">
            <wp:extent cx="5662930" cy="35775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62930" cy="3577590"/>
                    </a:xfrm>
                    <a:prstGeom prst="rect">
                      <a:avLst/>
                    </a:prstGeom>
                    <a:noFill/>
                    <a:ln>
                      <a:noFill/>
                    </a:ln>
                  </pic:spPr>
                </pic:pic>
              </a:graphicData>
            </a:graphic>
          </wp:inline>
        </w:drawing>
      </w:r>
    </w:p>
    <w:p>
      <w:pPr>
        <w:topLinePunct/>
        <w:spacing w:line="360" w:lineRule="auto"/>
        <w:jc w:val="center"/>
        <w:rPr>
          <w:color w:val="FF0000"/>
          <w:shd w:val="clear" w:color="auto" w:fill="FFFFFF"/>
        </w:rPr>
      </w:pPr>
      <w:r>
        <w:rPr>
          <w:shd w:val="clear" w:color="auto" w:fill="FFFFFF"/>
        </w:rPr>
        <w:br w:type="page"/>
      </w:r>
      <w:r>
        <w:rPr>
          <w:shd w:val="clear" w:color="auto" w:fill="FFFFFF"/>
        </w:rPr>
        <w:t>2</w:t>
      </w:r>
      <w:r>
        <w:rPr>
          <w:rFonts w:hint="eastAsia"/>
          <w:shd w:val="clear" w:color="auto" w:fill="FFFFFF"/>
        </w:rPr>
        <w:t>）重大税收违法失信主体截图请参照下图</w:t>
      </w:r>
    </w:p>
    <w:p>
      <w:pPr>
        <w:topLinePunct/>
        <w:spacing w:line="360" w:lineRule="auto"/>
        <w:rPr>
          <w:shd w:val="clear" w:color="auto" w:fill="FFFFFF"/>
        </w:rPr>
      </w:pPr>
      <w:r>
        <w:rPr>
          <w:shd w:val="clear" w:color="auto" w:fill="FFFFFF"/>
        </w:rPr>
        <w:drawing>
          <wp:inline distT="0" distB="0" distL="0" distR="0">
            <wp:extent cx="5577205" cy="436372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77205" cy="4363720"/>
                    </a:xfrm>
                    <a:prstGeom prst="rect">
                      <a:avLst/>
                    </a:prstGeom>
                    <a:noFill/>
                    <a:ln>
                      <a:noFill/>
                    </a:ln>
                  </pic:spPr>
                </pic:pic>
              </a:graphicData>
            </a:graphic>
          </wp:inline>
        </w:drawing>
      </w:r>
    </w:p>
    <w:p>
      <w:pPr>
        <w:pStyle w:val="2"/>
        <w:spacing w:line="360" w:lineRule="auto"/>
        <w:rPr>
          <w:b/>
          <w:bCs/>
          <w:color w:val="auto"/>
        </w:rPr>
      </w:pPr>
    </w:p>
    <w:p>
      <w:pPr>
        <w:pStyle w:val="2"/>
        <w:spacing w:line="360" w:lineRule="auto"/>
        <w:ind w:firstLine="480" w:firstLineChars="200"/>
        <w:rPr>
          <w:color w:val="auto"/>
        </w:rPr>
      </w:pPr>
      <w:r>
        <w:rPr>
          <w:rFonts w:hint="eastAsia"/>
          <w:color w:val="auto"/>
        </w:rPr>
        <w:t>（</w:t>
      </w:r>
      <w:r>
        <w:rPr>
          <w:color w:val="auto"/>
        </w:rPr>
        <w:t>6</w:t>
      </w:r>
      <w:r>
        <w:rPr>
          <w:rFonts w:hint="eastAsia"/>
          <w:color w:val="auto"/>
        </w:rPr>
        <w:t>）单位负责人为同一人或者存在控股、管理关系的不同单位，不得同时对本项目投标，</w:t>
      </w:r>
      <w:r>
        <w:rPr>
          <w:rFonts w:hint="eastAsia"/>
          <w:b/>
          <w:bCs/>
          <w:color w:val="auto"/>
        </w:rPr>
        <w:t>提供承诺书格式自拟</w:t>
      </w:r>
      <w:r>
        <w:rPr>
          <w:rFonts w:hint="eastAsia"/>
          <w:color w:val="auto"/>
        </w:rPr>
        <w:t>。</w:t>
      </w:r>
    </w:p>
    <w:p>
      <w:pPr>
        <w:pStyle w:val="3"/>
      </w:pPr>
    </w:p>
    <w:p>
      <w:pPr>
        <w:rPr>
          <w:b/>
          <w:sz w:val="28"/>
          <w:szCs w:val="28"/>
        </w:rPr>
      </w:pPr>
      <w:r>
        <w:rPr>
          <w:rFonts w:hint="eastAsia"/>
          <w:b/>
          <w:sz w:val="28"/>
          <w:szCs w:val="28"/>
        </w:rPr>
        <w:br w:type="page"/>
      </w:r>
    </w:p>
    <w:p>
      <w:pPr>
        <w:jc w:val="center"/>
        <w:outlineLvl w:val="1"/>
        <w:rPr>
          <w:b/>
          <w:bCs/>
          <w:sz w:val="28"/>
          <w:szCs w:val="28"/>
        </w:rPr>
      </w:pPr>
      <w:bookmarkStart w:id="115" w:name="_Toc26896"/>
      <w:r>
        <w:rPr>
          <w:rFonts w:hint="eastAsia"/>
          <w:b/>
          <w:bCs/>
          <w:sz w:val="28"/>
          <w:szCs w:val="28"/>
        </w:rPr>
        <w:t>八 、</w:t>
      </w:r>
      <w:bookmarkEnd w:id="115"/>
      <w:r>
        <w:rPr>
          <w:rFonts w:hint="eastAsia"/>
          <w:b/>
          <w:bCs/>
          <w:sz w:val="28"/>
          <w:szCs w:val="28"/>
        </w:rPr>
        <w:t>人员配备情况</w:t>
      </w:r>
    </w:p>
    <w:p>
      <w:pPr>
        <w:tabs>
          <w:tab w:val="left" w:pos="1800"/>
        </w:tabs>
        <w:autoSpaceDE w:val="0"/>
        <w:autoSpaceDN w:val="0"/>
        <w:adjustRightInd w:val="0"/>
        <w:jc w:val="center"/>
        <w:rPr>
          <w:b/>
          <w:snapToGrid w:val="0"/>
        </w:rPr>
      </w:pPr>
    </w:p>
    <w:p>
      <w:pPr>
        <w:pStyle w:val="154"/>
        <w:ind w:firstLine="0" w:firstLineChars="0"/>
        <w:jc w:val="center"/>
        <w:rPr>
          <w:rFonts w:ascii="宋体" w:hAnsi="宋体"/>
          <w:b/>
          <w:sz w:val="22"/>
          <w:szCs w:val="22"/>
        </w:rPr>
      </w:pPr>
    </w:p>
    <w:tbl>
      <w:tblPr>
        <w:tblStyle w:val="38"/>
        <w:tblW w:w="9092" w:type="dxa"/>
        <w:tblInd w:w="88" w:type="dxa"/>
        <w:tblLayout w:type="fixed"/>
        <w:tblCellMar>
          <w:top w:w="0" w:type="dxa"/>
          <w:left w:w="108" w:type="dxa"/>
          <w:bottom w:w="0" w:type="dxa"/>
          <w:right w:w="108" w:type="dxa"/>
        </w:tblCellMar>
      </w:tblPr>
      <w:tblGrid>
        <w:gridCol w:w="818"/>
        <w:gridCol w:w="1258"/>
        <w:gridCol w:w="819"/>
        <w:gridCol w:w="1407"/>
        <w:gridCol w:w="41"/>
        <w:gridCol w:w="1312"/>
        <w:gridCol w:w="1989"/>
        <w:gridCol w:w="52"/>
        <w:gridCol w:w="1345"/>
        <w:gridCol w:w="51"/>
      </w:tblGrid>
      <w:tr>
        <w:trPr>
          <w:gridAfter w:val="1"/>
          <w:wAfter w:w="51" w:type="dxa"/>
          <w:trHeight w:val="295"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姓名</w:t>
            </w:r>
          </w:p>
        </w:tc>
        <w:tc>
          <w:tcPr>
            <w:tcW w:w="8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性别</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文化程度</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工作年限</w:t>
            </w:r>
          </w:p>
        </w:tc>
        <w:tc>
          <w:tcPr>
            <w:tcW w:w="1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职务/职称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身份证号</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bl>
    <w:p/>
    <w:p>
      <w:pPr>
        <w:spacing w:line="480" w:lineRule="exact"/>
        <w:contextualSpacing/>
      </w:pPr>
      <w:r>
        <w:rPr>
          <w:rFonts w:hint="eastAsia"/>
        </w:rPr>
        <w:t>注：请附主要负责人工作简历及相关证书，其它人员附相关证书（若有）复印件（原件备查）、相关经验的证明材料。</w:t>
      </w:r>
    </w:p>
    <w:p>
      <w:pPr>
        <w:pStyle w:val="2"/>
        <w:rPr>
          <w:color w:val="auto"/>
        </w:rPr>
      </w:pPr>
      <w:r>
        <w:rPr>
          <w:color w:val="auto"/>
        </w:rPr>
        <w:br w:type="page"/>
      </w:r>
    </w:p>
    <w:p>
      <w:pPr>
        <w:ind w:firstLine="480" w:firstLineChars="200"/>
      </w:pPr>
    </w:p>
    <w:p>
      <w:pPr>
        <w:jc w:val="center"/>
        <w:outlineLvl w:val="1"/>
        <w:rPr>
          <w:b/>
          <w:bCs/>
          <w:sz w:val="28"/>
          <w:szCs w:val="28"/>
        </w:rPr>
      </w:pPr>
      <w:r>
        <w:rPr>
          <w:rFonts w:hint="eastAsia"/>
          <w:b/>
          <w:bCs/>
          <w:sz w:val="28"/>
          <w:szCs w:val="28"/>
        </w:rPr>
        <w:t>九、</w:t>
      </w:r>
      <w:r>
        <w:rPr>
          <w:b/>
          <w:bCs/>
          <w:sz w:val="28"/>
          <w:szCs w:val="28"/>
        </w:rPr>
        <w:t>业绩</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78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8" w:type="dxa"/>
            <w:gridSpan w:val="3"/>
          </w:tcPr>
          <w:p>
            <w:pPr>
              <w:spacing w:before="163" w:beforeLines="50" w:after="163" w:afterLines="50" w:line="360" w:lineRule="auto"/>
              <w:rPr>
                <w:szCs w:val="21"/>
              </w:rPr>
            </w:pPr>
            <w:r>
              <w:rPr>
                <w:rFonts w:hint="eastAsia"/>
                <w:szCs w:val="21"/>
              </w:rPr>
              <w:t>供应商</w:t>
            </w:r>
            <w:r>
              <w:rPr>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1</w:t>
            </w:r>
          </w:p>
        </w:tc>
        <w:tc>
          <w:tcPr>
            <w:tcW w:w="3780" w:type="dxa"/>
          </w:tcPr>
          <w:p>
            <w:pPr>
              <w:spacing w:before="163" w:beforeLines="50" w:after="163" w:afterLines="50" w:line="360" w:lineRule="auto"/>
              <w:rPr>
                <w:szCs w:val="21"/>
              </w:rPr>
            </w:pPr>
            <w:r>
              <w:rPr>
                <w:szCs w:val="21"/>
              </w:rPr>
              <w:t>项目名称</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2</w:t>
            </w:r>
          </w:p>
        </w:tc>
        <w:tc>
          <w:tcPr>
            <w:tcW w:w="3780" w:type="dxa"/>
          </w:tcPr>
          <w:p>
            <w:pPr>
              <w:spacing w:before="163" w:beforeLines="50" w:after="163" w:afterLines="50" w:line="360" w:lineRule="auto"/>
              <w:rPr>
                <w:szCs w:val="21"/>
              </w:rPr>
            </w:pPr>
            <w:r>
              <w:rPr>
                <w:szCs w:val="21"/>
              </w:rPr>
              <w:t>项目</w:t>
            </w:r>
            <w:r>
              <w:rPr>
                <w:rFonts w:hint="eastAsia"/>
                <w:szCs w:val="21"/>
              </w:rPr>
              <w:t>内容</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rFonts w:hint="eastAsia"/>
                <w:szCs w:val="21"/>
              </w:rPr>
              <w:t>3</w:t>
            </w:r>
          </w:p>
        </w:tc>
        <w:tc>
          <w:tcPr>
            <w:tcW w:w="3780" w:type="dxa"/>
          </w:tcPr>
          <w:p>
            <w:pPr>
              <w:spacing w:before="163" w:beforeLines="50" w:after="163" w:afterLines="50" w:line="360" w:lineRule="auto"/>
              <w:rPr>
                <w:szCs w:val="21"/>
              </w:rPr>
            </w:pPr>
            <w:r>
              <w:rPr>
                <w:szCs w:val="21"/>
              </w:rPr>
              <w:t>在项目中的角色</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4</w:t>
            </w:r>
          </w:p>
        </w:tc>
        <w:tc>
          <w:tcPr>
            <w:tcW w:w="3780" w:type="dxa"/>
          </w:tcPr>
          <w:p>
            <w:pPr>
              <w:spacing w:before="163" w:beforeLines="50" w:after="163" w:afterLines="50" w:line="360" w:lineRule="auto"/>
              <w:rPr>
                <w:szCs w:val="21"/>
              </w:rPr>
            </w:pPr>
            <w:r>
              <w:rPr>
                <w:rFonts w:hint="eastAsia"/>
                <w:szCs w:val="21"/>
              </w:rPr>
              <w:t>项目</w:t>
            </w:r>
            <w:r>
              <w:rPr>
                <w:szCs w:val="21"/>
              </w:rPr>
              <w:t>过程简要描述</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restart"/>
            <w:vAlign w:val="center"/>
          </w:tcPr>
          <w:p>
            <w:pPr>
              <w:spacing w:before="163" w:beforeLines="50" w:after="163" w:afterLines="50" w:line="360" w:lineRule="auto"/>
              <w:jc w:val="center"/>
              <w:rPr>
                <w:szCs w:val="21"/>
              </w:rPr>
            </w:pPr>
            <w:r>
              <w:rPr>
                <w:szCs w:val="21"/>
              </w:rPr>
              <w:t>5</w:t>
            </w:r>
          </w:p>
        </w:tc>
        <w:tc>
          <w:tcPr>
            <w:tcW w:w="3780" w:type="dxa"/>
          </w:tcPr>
          <w:p>
            <w:pPr>
              <w:spacing w:before="163" w:beforeLines="50" w:after="163" w:afterLines="50" w:line="360" w:lineRule="auto"/>
              <w:rPr>
                <w:szCs w:val="21"/>
              </w:rPr>
            </w:pPr>
            <w:r>
              <w:rPr>
                <w:szCs w:val="21"/>
              </w:rPr>
              <w:t>业主地址</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continue"/>
          </w:tcPr>
          <w:p>
            <w:pPr>
              <w:spacing w:before="163" w:beforeLines="50" w:after="163" w:afterLines="50" w:line="360" w:lineRule="auto"/>
              <w:jc w:val="center"/>
              <w:rPr>
                <w:szCs w:val="21"/>
              </w:rPr>
            </w:pPr>
          </w:p>
        </w:tc>
        <w:tc>
          <w:tcPr>
            <w:tcW w:w="3780" w:type="dxa"/>
          </w:tcPr>
          <w:p>
            <w:pPr>
              <w:spacing w:before="163" w:beforeLines="50" w:after="163" w:afterLines="50" w:line="360" w:lineRule="auto"/>
              <w:rPr>
                <w:szCs w:val="21"/>
              </w:rPr>
            </w:pPr>
            <w:r>
              <w:rPr>
                <w:szCs w:val="21"/>
              </w:rPr>
              <w:t>电话</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continue"/>
          </w:tcPr>
          <w:p>
            <w:pPr>
              <w:spacing w:before="163" w:beforeLines="50" w:after="163" w:afterLines="50" w:line="360" w:lineRule="auto"/>
              <w:jc w:val="center"/>
              <w:rPr>
                <w:szCs w:val="21"/>
              </w:rPr>
            </w:pPr>
          </w:p>
        </w:tc>
        <w:tc>
          <w:tcPr>
            <w:tcW w:w="3780" w:type="dxa"/>
          </w:tcPr>
          <w:p>
            <w:pPr>
              <w:spacing w:before="163" w:beforeLines="50" w:after="163" w:afterLines="50" w:line="360" w:lineRule="auto"/>
              <w:rPr>
                <w:szCs w:val="21"/>
              </w:rPr>
            </w:pPr>
            <w:r>
              <w:rPr>
                <w:szCs w:val="21"/>
              </w:rPr>
              <w:t>传真</w:t>
            </w:r>
          </w:p>
        </w:tc>
        <w:tc>
          <w:tcPr>
            <w:tcW w:w="3960" w:type="dxa"/>
          </w:tcPr>
          <w:p>
            <w:pPr>
              <w:spacing w:before="163" w:beforeLines="50" w:after="163" w:afterLines="50" w:line="360" w:lineRule="auto"/>
              <w:rPr>
                <w:szCs w:val="21"/>
              </w:rPr>
            </w:pPr>
          </w:p>
        </w:tc>
      </w:tr>
    </w:tbl>
    <w:p>
      <w:pPr>
        <w:autoSpaceDE w:val="0"/>
        <w:autoSpaceDN w:val="0"/>
        <w:adjustRightInd w:val="0"/>
        <w:rPr>
          <w:sz w:val="21"/>
          <w:szCs w:val="21"/>
        </w:rPr>
      </w:pPr>
    </w:p>
    <w:p>
      <w:pPr>
        <w:spacing w:line="500" w:lineRule="exact"/>
        <w:ind w:firstLine="420" w:firstLineChars="200"/>
        <w:rPr>
          <w:b/>
          <w:bCs/>
          <w:sz w:val="21"/>
          <w:szCs w:val="21"/>
        </w:rPr>
      </w:pPr>
      <w:r>
        <w:rPr>
          <w:rFonts w:hint="eastAsia"/>
          <w:b/>
          <w:bCs/>
          <w:sz w:val="21"/>
          <w:szCs w:val="21"/>
        </w:rPr>
        <w:t>注：具体业绩要求详见：评审办法，本表后附</w:t>
      </w:r>
      <w:r>
        <w:rPr>
          <w:b/>
          <w:bCs/>
          <w:sz w:val="21"/>
          <w:szCs w:val="21"/>
        </w:rPr>
        <w:t>合同协议关键页（含合同协议双方的单位名称、合同协议项目名称、</w:t>
      </w:r>
      <w:r>
        <w:rPr>
          <w:rFonts w:hint="eastAsia"/>
          <w:b/>
          <w:bCs/>
          <w:sz w:val="21"/>
          <w:szCs w:val="21"/>
        </w:rPr>
        <w:t>服务内容页、</w:t>
      </w:r>
      <w:r>
        <w:rPr>
          <w:b/>
          <w:bCs/>
          <w:sz w:val="21"/>
          <w:szCs w:val="21"/>
        </w:rPr>
        <w:t>项目金额与含合同协议双方的落款印章、签订日期的关键页）复印件，并加盖供应商公章。</w:t>
      </w:r>
    </w:p>
    <w:p>
      <w:pPr>
        <w:jc w:val="center"/>
        <w:rPr>
          <w:b/>
          <w:sz w:val="28"/>
          <w:szCs w:val="28"/>
        </w:rPr>
      </w:pPr>
    </w:p>
    <w:p>
      <w:pPr>
        <w:jc w:val="center"/>
        <w:rPr>
          <w:b/>
          <w:sz w:val="28"/>
          <w:szCs w:val="28"/>
        </w:rPr>
      </w:pPr>
    </w:p>
    <w:p>
      <w:pPr>
        <w:rPr>
          <w:b/>
          <w:sz w:val="28"/>
          <w:szCs w:val="28"/>
        </w:rPr>
      </w:pPr>
      <w:r>
        <w:rPr>
          <w:b/>
          <w:sz w:val="28"/>
          <w:szCs w:val="28"/>
        </w:rPr>
        <w:br w:type="page"/>
      </w:r>
    </w:p>
    <w:p>
      <w:pPr>
        <w:jc w:val="both"/>
        <w:rPr>
          <w:b/>
          <w:sz w:val="28"/>
          <w:szCs w:val="28"/>
        </w:rPr>
      </w:pPr>
    </w:p>
    <w:p>
      <w:pPr>
        <w:jc w:val="center"/>
        <w:outlineLvl w:val="1"/>
        <w:rPr>
          <w:b/>
          <w:bCs/>
          <w:sz w:val="28"/>
          <w:szCs w:val="28"/>
        </w:rPr>
      </w:pPr>
      <w:bookmarkStart w:id="116" w:name="_Toc27589"/>
      <w:r>
        <w:rPr>
          <w:rFonts w:hint="eastAsia"/>
          <w:b/>
          <w:bCs/>
          <w:sz w:val="28"/>
          <w:szCs w:val="28"/>
        </w:rPr>
        <w:t>十、</w:t>
      </w:r>
      <w:r>
        <w:rPr>
          <w:b/>
          <w:bCs/>
          <w:sz w:val="28"/>
          <w:szCs w:val="28"/>
        </w:rPr>
        <w:t xml:space="preserve">  </w:t>
      </w:r>
      <w:r>
        <w:rPr>
          <w:rFonts w:hint="eastAsia"/>
          <w:b/>
          <w:bCs/>
          <w:sz w:val="28"/>
          <w:szCs w:val="28"/>
        </w:rPr>
        <w:t>商务偏差表</w:t>
      </w:r>
      <w:bookmarkEnd w:id="116"/>
    </w:p>
    <w:p>
      <w:pPr>
        <w:jc w:val="center"/>
        <w:outlineLvl w:val="1"/>
        <w:rPr>
          <w:b/>
          <w:bCs/>
          <w:sz w:val="28"/>
          <w:szCs w:val="28"/>
        </w:rPr>
      </w:pPr>
    </w:p>
    <w:tbl>
      <w:tblPr>
        <w:tblStyle w:val="3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4"/>
        <w:gridCol w:w="2407"/>
        <w:gridCol w:w="2006"/>
        <w:gridCol w:w="2407"/>
        <w:gridCol w:w="10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vAlign w:val="center"/>
          </w:tcPr>
          <w:p>
            <w:pPr>
              <w:spacing w:line="276" w:lineRule="auto"/>
              <w:jc w:val="center"/>
            </w:pPr>
            <w:r>
              <w:rPr>
                <w:rFonts w:hint="eastAsia"/>
              </w:rPr>
              <w:t>序号</w:t>
            </w:r>
          </w:p>
        </w:tc>
        <w:tc>
          <w:tcPr>
            <w:tcW w:w="2407" w:type="dxa"/>
          </w:tcPr>
          <w:p>
            <w:pPr>
              <w:spacing w:line="276" w:lineRule="auto"/>
              <w:jc w:val="center"/>
            </w:pPr>
            <w:r>
              <w:rPr>
                <w:rFonts w:hint="eastAsia"/>
              </w:rPr>
              <w:t>谈判文件</w:t>
            </w:r>
          </w:p>
          <w:p>
            <w:pPr>
              <w:spacing w:line="276" w:lineRule="auto"/>
              <w:jc w:val="center"/>
            </w:pPr>
            <w:r>
              <w:rPr>
                <w:rFonts w:hint="eastAsia"/>
              </w:rPr>
              <w:t>商务部分条款号</w:t>
            </w:r>
          </w:p>
        </w:tc>
        <w:tc>
          <w:tcPr>
            <w:tcW w:w="2006" w:type="dxa"/>
          </w:tcPr>
          <w:p>
            <w:pPr>
              <w:spacing w:line="276" w:lineRule="auto"/>
              <w:jc w:val="center"/>
            </w:pPr>
            <w:r>
              <w:rPr>
                <w:rFonts w:hint="eastAsia"/>
              </w:rPr>
              <w:t>谈判文件的</w:t>
            </w:r>
          </w:p>
          <w:p>
            <w:pPr>
              <w:spacing w:line="276" w:lineRule="auto"/>
              <w:jc w:val="center"/>
            </w:pPr>
            <w:r>
              <w:rPr>
                <w:rFonts w:hint="eastAsia"/>
              </w:rPr>
              <w:t>规定</w:t>
            </w:r>
          </w:p>
        </w:tc>
        <w:tc>
          <w:tcPr>
            <w:tcW w:w="2407" w:type="dxa"/>
          </w:tcPr>
          <w:p>
            <w:pPr>
              <w:spacing w:line="276" w:lineRule="auto"/>
              <w:jc w:val="center"/>
            </w:pPr>
            <w:r>
              <w:rPr>
                <w:rFonts w:hint="eastAsia"/>
              </w:rPr>
              <w:t>响应文件与谈判文件规定的偏差描述</w:t>
            </w:r>
          </w:p>
        </w:tc>
        <w:tc>
          <w:tcPr>
            <w:tcW w:w="1068" w:type="dxa"/>
            <w:vAlign w:val="center"/>
          </w:tcPr>
          <w:p>
            <w:pPr>
              <w:spacing w:line="276" w:lineRule="auto"/>
              <w:jc w:val="center"/>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1</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2</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3</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bl>
    <w:p>
      <w:pPr>
        <w:snapToGrid w:val="0"/>
        <w:spacing w:line="360" w:lineRule="auto"/>
        <w:rPr>
          <w:rFonts w:cs="Arial"/>
          <w:snapToGrid w:val="0"/>
          <w:szCs w:val="21"/>
          <w:u w:val="single"/>
        </w:rPr>
      </w:pPr>
      <w:r>
        <w:rPr>
          <w:rFonts w:hint="eastAsia"/>
          <w:szCs w:val="21"/>
        </w:rPr>
        <w:t>注：供应商须如实填写“商务偏离表”，若无偏离，应当明确标注“无商务偏离”。</w:t>
      </w:r>
    </w:p>
    <w:p>
      <w:pPr>
        <w:adjustRightInd w:val="0"/>
        <w:snapToGrid w:val="0"/>
        <w:spacing w:before="163" w:beforeLines="50" w:after="163" w:afterLines="50"/>
      </w:pP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供应商（盖章）：</w:t>
      </w: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法定代表人或委托代理人（签字）：</w:t>
      </w: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日期：     年     月    日</w:t>
      </w:r>
    </w:p>
    <w:p>
      <w:pPr>
        <w:spacing w:line="600" w:lineRule="exact"/>
        <w:rPr>
          <w:sz w:val="28"/>
          <w:szCs w:val="28"/>
        </w:rPr>
      </w:pPr>
    </w:p>
    <w:p>
      <w:pPr>
        <w:spacing w:line="600" w:lineRule="exact"/>
        <w:rPr>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jc w:val="center"/>
        <w:outlineLvl w:val="1"/>
        <w:rPr>
          <w:b/>
        </w:rPr>
      </w:pPr>
      <w:bookmarkStart w:id="117" w:name="_Toc20004"/>
      <w:r>
        <w:rPr>
          <w:rFonts w:hint="eastAsia"/>
          <w:b/>
          <w:bCs/>
          <w:sz w:val="28"/>
          <w:szCs w:val="28"/>
        </w:rPr>
        <w:t>十一、 技术偏差表</w:t>
      </w:r>
      <w:bookmarkEnd w:id="117"/>
    </w:p>
    <w:p>
      <w:pPr>
        <w:pStyle w:val="25"/>
        <w:spacing w:line="276" w:lineRule="auto"/>
        <w:rPr>
          <w:rFonts w:hAnsi="宋体" w:eastAsia="宋体"/>
        </w:rPr>
      </w:pPr>
      <w:r>
        <w:rPr>
          <w:rFonts w:hAnsi="宋体" w:eastAsia="宋体"/>
        </w:rPr>
        <w:t xml:space="preserve">                </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907"/>
        <w:gridCol w:w="2017"/>
        <w:gridCol w:w="1907"/>
        <w:gridCol w:w="1242"/>
        <w:gridCol w:w="12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4" w:hRule="atLeast"/>
        </w:trPr>
        <w:tc>
          <w:tcPr>
            <w:tcW w:w="738" w:type="dxa"/>
            <w:vAlign w:val="center"/>
          </w:tcPr>
          <w:p>
            <w:pPr>
              <w:spacing w:line="276" w:lineRule="auto"/>
              <w:jc w:val="center"/>
            </w:pPr>
            <w:r>
              <w:rPr>
                <w:rFonts w:hint="eastAsia"/>
              </w:rPr>
              <w:t>序号</w:t>
            </w:r>
          </w:p>
        </w:tc>
        <w:tc>
          <w:tcPr>
            <w:tcW w:w="1907" w:type="dxa"/>
            <w:vAlign w:val="center"/>
          </w:tcPr>
          <w:p>
            <w:pPr>
              <w:spacing w:line="276" w:lineRule="auto"/>
              <w:jc w:val="center"/>
            </w:pPr>
            <w:r>
              <w:rPr>
                <w:rFonts w:hint="eastAsia"/>
              </w:rPr>
              <w:t>偏差项目</w:t>
            </w:r>
          </w:p>
        </w:tc>
        <w:tc>
          <w:tcPr>
            <w:tcW w:w="2017" w:type="dxa"/>
            <w:vAlign w:val="center"/>
          </w:tcPr>
          <w:p>
            <w:pPr>
              <w:spacing w:line="276" w:lineRule="auto"/>
              <w:jc w:val="center"/>
            </w:pPr>
            <w:r>
              <w:rPr>
                <w:rFonts w:hint="eastAsia"/>
              </w:rPr>
              <w:t>对应条款编号</w:t>
            </w:r>
          </w:p>
        </w:tc>
        <w:tc>
          <w:tcPr>
            <w:tcW w:w="1907" w:type="dxa"/>
            <w:vAlign w:val="center"/>
          </w:tcPr>
          <w:p>
            <w:pPr>
              <w:spacing w:line="276" w:lineRule="auto"/>
              <w:jc w:val="center"/>
            </w:pPr>
            <w:r>
              <w:rPr>
                <w:rFonts w:hint="eastAsia"/>
              </w:rPr>
              <w:t>技术文件要求</w:t>
            </w:r>
          </w:p>
        </w:tc>
        <w:tc>
          <w:tcPr>
            <w:tcW w:w="1242" w:type="dxa"/>
            <w:vAlign w:val="center"/>
          </w:tcPr>
          <w:p>
            <w:pPr>
              <w:spacing w:line="276" w:lineRule="auto"/>
              <w:jc w:val="center"/>
            </w:pPr>
            <w:r>
              <w:rPr>
                <w:rFonts w:hint="eastAsia"/>
              </w:rPr>
              <w:t>偏差</w:t>
            </w:r>
          </w:p>
        </w:tc>
        <w:tc>
          <w:tcPr>
            <w:tcW w:w="1225" w:type="dxa"/>
            <w:vAlign w:val="center"/>
          </w:tcPr>
          <w:p>
            <w:pPr>
              <w:spacing w:line="276" w:lineRule="auto"/>
              <w:jc w:val="center"/>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1</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2</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3</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3"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bl>
    <w:p>
      <w:pPr>
        <w:pStyle w:val="25"/>
        <w:spacing w:line="276" w:lineRule="auto"/>
        <w:rPr>
          <w:rFonts w:hAnsi="宋体" w:eastAsia="宋体"/>
          <w:sz w:val="32"/>
        </w:rPr>
      </w:pPr>
    </w:p>
    <w:p>
      <w:pPr>
        <w:pStyle w:val="25"/>
        <w:tabs>
          <w:tab w:val="left" w:pos="420"/>
          <w:tab w:val="left" w:pos="525"/>
        </w:tabs>
        <w:spacing w:line="276" w:lineRule="auto"/>
        <w:rPr>
          <w:rFonts w:hAnsi="宋体" w:eastAsia="宋体"/>
          <w:sz w:val="24"/>
          <w:szCs w:val="22"/>
        </w:rPr>
      </w:pPr>
      <w:r>
        <w:rPr>
          <w:rFonts w:hint="eastAsia" w:hAnsi="宋体" w:eastAsia="宋体"/>
          <w:sz w:val="24"/>
          <w:szCs w:val="22"/>
        </w:rPr>
        <w:t>注：</w:t>
      </w:r>
    </w:p>
    <w:p>
      <w:pPr>
        <w:pStyle w:val="25"/>
        <w:numPr>
          <w:ilvl w:val="0"/>
          <w:numId w:val="29"/>
        </w:numPr>
        <w:tabs>
          <w:tab w:val="left" w:pos="420"/>
          <w:tab w:val="left" w:pos="525"/>
        </w:tabs>
        <w:spacing w:line="276" w:lineRule="auto"/>
        <w:rPr>
          <w:rFonts w:hAnsi="宋体" w:eastAsia="宋体"/>
          <w:sz w:val="24"/>
          <w:szCs w:val="22"/>
        </w:rPr>
      </w:pPr>
      <w:r>
        <w:rPr>
          <w:rFonts w:hint="eastAsia" w:hAnsi="宋体" w:eastAsia="宋体"/>
          <w:sz w:val="24"/>
          <w:szCs w:val="22"/>
        </w:rPr>
        <w:t>对于供应商提出的但未在偏差表中列明的偏差，视为供应商未提出该偏差。</w:t>
      </w:r>
    </w:p>
    <w:p>
      <w:pPr>
        <w:pStyle w:val="61"/>
        <w:numPr>
          <w:ilvl w:val="0"/>
          <w:numId w:val="29"/>
        </w:numPr>
        <w:snapToGrid w:val="0"/>
        <w:spacing w:line="360" w:lineRule="auto"/>
        <w:ind w:firstLineChars="0"/>
        <w:rPr>
          <w:rFonts w:ascii="宋体" w:hAnsi="宋体" w:eastAsia="宋体"/>
          <w:sz w:val="24"/>
          <w:szCs w:val="22"/>
        </w:rPr>
      </w:pPr>
      <w:r>
        <w:rPr>
          <w:rFonts w:hint="eastAsia" w:ascii="宋体" w:hAnsi="宋体" w:eastAsia="宋体"/>
          <w:sz w:val="24"/>
          <w:szCs w:val="22"/>
        </w:rPr>
        <w:t>供应商须如实填写“技术偏离表”，若无偏离，应当明确标注“无技术偏离”。</w:t>
      </w:r>
    </w:p>
    <w:p>
      <w:pPr>
        <w:spacing w:line="540" w:lineRule="exact"/>
        <w:rPr>
          <w:sz w:val="28"/>
          <w:szCs w:val="28"/>
        </w:rPr>
        <w:sectPr>
          <w:footerReference r:id="rId8" w:type="default"/>
          <w:footerReference r:id="rId9" w:type="even"/>
          <w:pgSz w:w="11906" w:h="16838"/>
          <w:pgMar w:top="1134" w:right="1287" w:bottom="1134" w:left="1134" w:header="851" w:footer="964" w:gutter="567"/>
          <w:pgNumType w:start="26"/>
          <w:cols w:space="720" w:num="1"/>
          <w:titlePg/>
          <w:docGrid w:type="lines" w:linePitch="326" w:charSpace="0"/>
        </w:sectPr>
      </w:pPr>
    </w:p>
    <w:p>
      <w:pPr>
        <w:jc w:val="center"/>
        <w:outlineLvl w:val="1"/>
        <w:rPr>
          <w:b/>
          <w:bCs/>
          <w:sz w:val="28"/>
          <w:szCs w:val="28"/>
        </w:rPr>
      </w:pPr>
      <w:bookmarkStart w:id="118" w:name="_Toc20419"/>
      <w:r>
        <w:rPr>
          <w:rFonts w:hint="eastAsia"/>
          <w:b/>
          <w:bCs/>
          <w:sz w:val="28"/>
          <w:szCs w:val="28"/>
        </w:rPr>
        <w:t>十二、</w:t>
      </w:r>
      <w:r>
        <w:rPr>
          <w:b/>
          <w:bCs/>
          <w:sz w:val="28"/>
          <w:szCs w:val="28"/>
        </w:rPr>
        <w:t xml:space="preserve">  </w:t>
      </w:r>
      <w:r>
        <w:rPr>
          <w:rFonts w:hint="eastAsia"/>
          <w:b/>
          <w:bCs/>
          <w:sz w:val="28"/>
          <w:szCs w:val="28"/>
        </w:rPr>
        <w:t>服务方案</w:t>
      </w:r>
      <w:bookmarkEnd w:id="118"/>
    </w:p>
    <w:p>
      <w:pPr>
        <w:autoSpaceDE w:val="0"/>
        <w:autoSpaceDN w:val="0"/>
        <w:adjustRightInd w:val="0"/>
        <w:spacing w:line="540" w:lineRule="exact"/>
        <w:ind w:right="-81" w:firstLine="480" w:firstLineChars="200"/>
      </w:pPr>
      <w:bookmarkStart w:id="119" w:name="_Toc31967"/>
    </w:p>
    <w:bookmarkEnd w:id="119"/>
    <w:p>
      <w:pPr>
        <w:spacing w:line="360" w:lineRule="auto"/>
        <w:ind w:right="-197" w:rightChars="-82"/>
      </w:pPr>
      <w:r>
        <w:rPr>
          <w:rFonts w:hint="eastAsia"/>
        </w:rPr>
        <w:t>根据第三部分评审办法中评审因素和第五部分采购需求编制，格式自拟。包括但不限于：1）整体服务方案</w:t>
      </w:r>
    </w:p>
    <w:p>
      <w:pPr>
        <w:spacing w:line="360" w:lineRule="auto"/>
        <w:ind w:right="-197" w:rightChars="-82"/>
      </w:pPr>
      <w:r>
        <w:t>2</w:t>
      </w:r>
      <w:r>
        <w:rPr>
          <w:rFonts w:hint="eastAsia"/>
        </w:rPr>
        <w:t>）服务组织机构与项目组人员配置情况</w:t>
      </w:r>
    </w:p>
    <w:p>
      <w:pPr>
        <w:spacing w:line="360" w:lineRule="auto"/>
        <w:ind w:right="-197" w:rightChars="-82"/>
      </w:pPr>
      <w:r>
        <w:t>3</w:t>
      </w:r>
      <w:r>
        <w:rPr>
          <w:rFonts w:hint="eastAsia"/>
        </w:rPr>
        <w:t>）服务质量、进度、保密等保证措施</w:t>
      </w:r>
    </w:p>
    <w:p>
      <w:pPr>
        <w:spacing w:line="360" w:lineRule="auto"/>
        <w:ind w:right="-197" w:rightChars="-82"/>
      </w:pPr>
      <w:r>
        <w:t>4</w:t>
      </w:r>
      <w:r>
        <w:rPr>
          <w:rFonts w:hint="eastAsia"/>
        </w:rPr>
        <w:t>）物料准备及现场应急预案</w:t>
      </w:r>
    </w:p>
    <w:p>
      <w:pPr>
        <w:spacing w:line="360" w:lineRule="auto"/>
        <w:ind w:right="-197" w:rightChars="-82"/>
      </w:pPr>
      <w:r>
        <w:rPr>
          <w:rFonts w:hint="eastAsia"/>
        </w:rPr>
        <w:t>5）服务承诺</w:t>
      </w:r>
    </w:p>
    <w:p>
      <w:pPr>
        <w:spacing w:line="360" w:lineRule="auto"/>
        <w:ind w:right="-197" w:rightChars="-82"/>
      </w:pPr>
      <w:r>
        <w:rPr>
          <w:rFonts w:hint="eastAsia"/>
        </w:rPr>
        <w:t>6）合理化建议</w:t>
      </w:r>
    </w:p>
    <w:p>
      <w:pPr>
        <w:spacing w:line="360" w:lineRule="auto"/>
        <w:jc w:val="center"/>
      </w:pPr>
    </w:p>
    <w:p>
      <w:pPr>
        <w:ind w:right="-197" w:rightChars="-82"/>
      </w:pPr>
    </w:p>
    <w:p>
      <w:pPr>
        <w:spacing w:line="540" w:lineRule="exact"/>
        <w:jc w:val="center"/>
        <w:rPr>
          <w:b/>
          <w:sz w:val="28"/>
          <w:szCs w:val="28"/>
        </w:rPr>
      </w:pPr>
    </w:p>
    <w:p>
      <w:pPr>
        <w:spacing w:line="540" w:lineRule="exact"/>
        <w:rPr>
          <w:sz w:val="28"/>
          <w:szCs w:val="28"/>
        </w:rPr>
      </w:pPr>
      <w:r>
        <w:rPr>
          <w:sz w:val="28"/>
          <w:szCs w:val="28"/>
        </w:rPr>
        <w:t xml:space="preserve">   </w:t>
      </w:r>
    </w:p>
    <w:p>
      <w:pPr>
        <w:jc w:val="center"/>
        <w:rPr>
          <w:b/>
          <w:sz w:val="32"/>
          <w:szCs w:val="32"/>
        </w:rPr>
      </w:pPr>
      <w:bookmarkStart w:id="120" w:name="_Toc481863387"/>
      <w:r>
        <w:br w:type="page"/>
      </w:r>
      <w:bookmarkEnd w:id="120"/>
    </w:p>
    <w:p/>
    <w:p>
      <w:pPr>
        <w:jc w:val="center"/>
        <w:outlineLvl w:val="1"/>
        <w:rPr>
          <w:b/>
          <w:bCs/>
          <w:sz w:val="28"/>
          <w:szCs w:val="28"/>
        </w:rPr>
      </w:pPr>
      <w:bookmarkStart w:id="121" w:name="_Toc21937"/>
      <w:r>
        <w:rPr>
          <w:rFonts w:hint="eastAsia"/>
          <w:b/>
          <w:bCs/>
          <w:sz w:val="28"/>
          <w:szCs w:val="28"/>
        </w:rPr>
        <w:t>十三、供应商认为应提供的其他材料</w:t>
      </w:r>
      <w:bookmarkEnd w:id="121"/>
    </w:p>
    <w:p>
      <w:pPr>
        <w:jc w:val="center"/>
        <w:outlineLvl w:val="1"/>
        <w:rPr>
          <w:b/>
          <w:bCs/>
          <w:sz w:val="28"/>
          <w:szCs w:val="28"/>
        </w:rPr>
      </w:pPr>
    </w:p>
    <w:p/>
    <w:p>
      <w:pPr>
        <w:autoSpaceDE w:val="0"/>
        <w:autoSpaceDN w:val="0"/>
        <w:adjustRightInd w:val="0"/>
        <w:spacing w:before="2" w:line="540" w:lineRule="exact"/>
        <w:ind w:right="286"/>
        <w:jc w:val="center"/>
        <w:rPr>
          <w:b/>
          <w:sz w:val="28"/>
          <w:szCs w:val="28"/>
        </w:rPr>
      </w:pPr>
    </w:p>
    <w:sectPr>
      <w:pgSz w:w="11906" w:h="16838"/>
      <w:pgMar w:top="1134" w:right="1287" w:bottom="1134" w:left="1134" w:header="851" w:footer="964" w:gutter="567"/>
      <w:pgNumType w:start="51"/>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华文行楷">
    <w:altName w:val="行楷-简"/>
    <w:panose1 w:val="02010800040101010101"/>
    <w:charset w:val="86"/>
    <w:family w:val="auto"/>
    <w:pitch w:val="default"/>
    <w:sig w:usb0="00000000" w:usb1="00000000" w:usb2="00000010" w:usb3="00000000" w:csb0="00040000" w:csb1="00000000"/>
  </w:font>
  <w:font w:name="行楷-简">
    <w:panose1 w:val="02010600040101010101"/>
    <w:charset w:val="86"/>
    <w:family w:val="auto"/>
    <w:pitch w:val="default"/>
    <w:sig w:usb0="00000000" w:usb1="00000000" w:usb2="00000000" w:usb3="00000000" w:csb0="00160000" w:csb1="00000000"/>
  </w:font>
  <w:font w:name="华文细黑">
    <w:altName w:val="黑体-简"/>
    <w:panose1 w:val="02010600040101010101"/>
    <w:charset w:val="86"/>
    <w:family w:val="auto"/>
    <w:pitch w:val="default"/>
    <w:sig w:usb0="00000000" w:usb1="00000000" w:usb2="00000010" w:usb3="00000000" w:csb0="0004009F" w:csb1="00000000"/>
  </w:font>
  <w:font w:name="黑体-简">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Kingsoft Sign">
    <w:panose1 w:val="05050102010706020507"/>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51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end"/>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077382"/>
      <w:docPartObj>
        <w:docPartGallery w:val="autotext"/>
      </w:docPartObj>
    </w:sdtPr>
    <w:sdtContent>
      <w:p>
        <w:pPr>
          <w:pStyle w:val="30"/>
          <w:jc w:val="center"/>
        </w:pPr>
        <w:r>
          <w:fldChar w:fldCharType="begin"/>
        </w:r>
        <w:r>
          <w:instrText xml:space="preserve">PAGE   \* MERGEFORMAT</w:instrText>
        </w:r>
        <w:r>
          <w:fldChar w:fldCharType="separate"/>
        </w:r>
        <w:r>
          <w:rPr>
            <w:lang w:val="zh-CN"/>
          </w:rPr>
          <w:t>52</w:t>
        </w:r>
        <w:r>
          <w:fldChar w:fldCharType="end"/>
        </w:r>
      </w:p>
    </w:sdtContent>
  </w:sdt>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lef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2EBA5"/>
    <w:multiLevelType w:val="singleLevel"/>
    <w:tmpl w:val="F802EBA5"/>
    <w:lvl w:ilvl="0" w:tentative="0">
      <w:start w:val="5"/>
      <w:numFmt w:val="chineseCounting"/>
      <w:suff w:val="nothing"/>
      <w:lvlText w:val="%1、"/>
      <w:lvlJc w:val="left"/>
      <w:rPr>
        <w:rFonts w:hint="eastAsia"/>
      </w:rPr>
    </w:lvl>
  </w:abstractNum>
  <w:abstractNum w:abstractNumId="1">
    <w:nsid w:val="FEB9C257"/>
    <w:multiLevelType w:val="singleLevel"/>
    <w:tmpl w:val="FEB9C257"/>
    <w:lvl w:ilvl="0" w:tentative="0">
      <w:start w:val="2"/>
      <w:numFmt w:val="decimal"/>
      <w:suff w:val="nothing"/>
      <w:lvlText w:val="%1、"/>
      <w:lvlJc w:val="left"/>
      <w:pPr>
        <w:ind w:left="48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FB"/>
    <w:multiLevelType w:val="multilevel"/>
    <w:tmpl w:val="FFFFFFFB"/>
    <w:lvl w:ilvl="0" w:tentative="0">
      <w:start w:val="1"/>
      <w:numFmt w:val="chineseCountingThousand"/>
      <w:pStyle w:val="4"/>
      <w:lvlText w:val="第%1部分"/>
      <w:legacy w:legacy="1" w:legacySpace="0" w:legacyIndent="0"/>
      <w:lvlJc w:val="left"/>
    </w:lvl>
    <w:lvl w:ilvl="1" w:tentative="0">
      <w:start w:val="1"/>
      <w:numFmt w:val="decimal"/>
      <w:lvlText w:val="%2)"/>
      <w:lvlJc w:val="left"/>
      <w:pPr>
        <w:tabs>
          <w:tab w:val="left" w:pos="420"/>
        </w:tabs>
        <w:ind w:left="420" w:hanging="420"/>
      </w:pPr>
    </w:lvl>
    <w:lvl w:ilvl="2" w:tentative="0">
      <w:start w:val="1"/>
      <w:numFmt w:val="decimal"/>
      <w:lvlText w:val="%3."/>
      <w:lvlJc w:val="left"/>
      <w:pPr>
        <w:tabs>
          <w:tab w:val="left" w:pos="420"/>
        </w:tabs>
        <w:ind w:left="420" w:hanging="420"/>
      </w:pPr>
      <w:rPr>
        <w:rFonts w:hint="eastAsia"/>
      </w:rPr>
    </w:lvl>
    <w:lvl w:ilvl="3" w:tentative="0">
      <w:start w:val="1"/>
      <w:numFmt w:val="none"/>
      <w:pStyle w:val="7"/>
      <w:suff w:val="nothing"/>
      <w:lvlText w:val=""/>
      <w:lvlJc w:val="left"/>
    </w:lvl>
    <w:lvl w:ilvl="4" w:tentative="0">
      <w:start w:val="1"/>
      <w:numFmt w:val="none"/>
      <w:pStyle w:val="8"/>
      <w:suff w:val="nothing"/>
      <w:lvlText w:val=""/>
      <w:lvlJc w:val="left"/>
    </w:lvl>
    <w:lvl w:ilvl="5" w:tentative="0">
      <w:start w:val="1"/>
      <w:numFmt w:val="none"/>
      <w:pStyle w:val="9"/>
      <w:suff w:val="nothing"/>
      <w:lvlText w:val=""/>
      <w:lvlJc w:val="left"/>
    </w:lvl>
    <w:lvl w:ilvl="6" w:tentative="0">
      <w:start w:val="1"/>
      <w:numFmt w:val="none"/>
      <w:pStyle w:val="10"/>
      <w:suff w:val="nothing"/>
      <w:lvlText w:val=""/>
      <w:lvlJc w:val="left"/>
    </w:lvl>
    <w:lvl w:ilvl="7" w:tentative="0">
      <w:start w:val="1"/>
      <w:numFmt w:val="none"/>
      <w:pStyle w:val="11"/>
      <w:suff w:val="nothing"/>
      <w:lvlText w:val=""/>
      <w:lvlJc w:val="left"/>
    </w:lvl>
    <w:lvl w:ilvl="8" w:tentative="0">
      <w:start w:val="1"/>
      <w:numFmt w:val="none"/>
      <w:pStyle w:val="12"/>
      <w:suff w:val="nothing"/>
      <w:lvlText w:val=""/>
      <w:lvlJc w:val="left"/>
    </w:lvl>
  </w:abstractNum>
  <w:abstractNum w:abstractNumId="6">
    <w:nsid w:val="0000000B"/>
    <w:multiLevelType w:val="singleLevel"/>
    <w:tmpl w:val="0000000B"/>
    <w:lvl w:ilvl="0" w:tentative="0">
      <w:start w:val="1"/>
      <w:numFmt w:val="lowerLetter"/>
      <w:lvlText w:val="%1."/>
      <w:lvlJc w:val="left"/>
      <w:pPr>
        <w:tabs>
          <w:tab w:val="left" w:pos="1560"/>
        </w:tabs>
        <w:ind w:left="1560" w:hanging="360"/>
      </w:pPr>
      <w:rPr>
        <w:rFonts w:hint="eastAsia"/>
      </w:rPr>
    </w:lvl>
  </w:abstractNum>
  <w:abstractNum w:abstractNumId="7">
    <w:nsid w:val="0000000F"/>
    <w:multiLevelType w:val="singleLevel"/>
    <w:tmpl w:val="0000000F"/>
    <w:lvl w:ilvl="0" w:tentative="0">
      <w:start w:val="1"/>
      <w:numFmt w:val="decimal"/>
      <w:lvlText w:val="%1、"/>
      <w:lvlJc w:val="left"/>
      <w:pPr>
        <w:tabs>
          <w:tab w:val="left" w:pos="360"/>
        </w:tabs>
        <w:ind w:left="360" w:hanging="360"/>
      </w:pPr>
      <w:rPr>
        <w:rFonts w:ascii="Times New Roman" w:hAnsi="Times New Roman" w:eastAsia="Times New Roman" w:cs="Times New Roman"/>
      </w:rPr>
    </w:lvl>
  </w:abstractNum>
  <w:abstractNum w:abstractNumId="8">
    <w:nsid w:val="00000018"/>
    <w:multiLevelType w:val="singleLevel"/>
    <w:tmpl w:val="00000018"/>
    <w:lvl w:ilvl="0" w:tentative="0">
      <w:start w:val="1"/>
      <w:numFmt w:val="decimal"/>
      <w:lvlText w:val="%1、"/>
      <w:lvlJc w:val="left"/>
      <w:pPr>
        <w:tabs>
          <w:tab w:val="left" w:pos="360"/>
        </w:tabs>
        <w:ind w:left="360" w:hanging="360"/>
      </w:pPr>
      <w:rPr>
        <w:rFonts w:ascii="Times New Roman" w:hAnsi="Times New Roman" w:eastAsia="Times New Roman" w:cs="Times New Roman"/>
      </w:rPr>
    </w:lvl>
  </w:abstractNum>
  <w:abstractNum w:abstractNumId="9">
    <w:nsid w:val="00000019"/>
    <w:multiLevelType w:val="singleLevel"/>
    <w:tmpl w:val="00000019"/>
    <w:lvl w:ilvl="0" w:tentative="0">
      <w:start w:val="1"/>
      <w:numFmt w:val="decimal"/>
      <w:lvlText w:val="%1、"/>
      <w:lvlJc w:val="left"/>
      <w:pPr>
        <w:tabs>
          <w:tab w:val="left" w:pos="360"/>
        </w:tabs>
        <w:ind w:left="360" w:hanging="360"/>
      </w:pPr>
      <w:rPr>
        <w:rFonts w:ascii="Times New Roman" w:hAnsi="Times New Roman" w:eastAsia="Times New Roman" w:cs="Times New Roman"/>
      </w:rPr>
    </w:lvl>
  </w:abstractNum>
  <w:abstractNum w:abstractNumId="10">
    <w:nsid w:val="00000022"/>
    <w:multiLevelType w:val="multilevel"/>
    <w:tmpl w:val="00000022"/>
    <w:lvl w:ilvl="0" w:tentative="0">
      <w:start w:val="1"/>
      <w:numFmt w:val="decimal"/>
      <w:pStyle w:val="145"/>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11">
    <w:nsid w:val="00000024"/>
    <w:multiLevelType w:val="singleLevel"/>
    <w:tmpl w:val="00000024"/>
    <w:lvl w:ilvl="0" w:tentative="0">
      <w:start w:val="1"/>
      <w:numFmt w:val="lowerLetter"/>
      <w:lvlText w:val="(%1)"/>
      <w:lvlJc w:val="left"/>
      <w:pPr>
        <w:tabs>
          <w:tab w:val="left" w:pos="360"/>
        </w:tabs>
        <w:ind w:left="360" w:hanging="360"/>
      </w:pPr>
    </w:lvl>
  </w:abstractNum>
  <w:abstractNum w:abstractNumId="12">
    <w:nsid w:val="127245EC"/>
    <w:multiLevelType w:val="multilevel"/>
    <w:tmpl w:val="127245EC"/>
    <w:lvl w:ilvl="0" w:tentative="0">
      <w:start w:val="1"/>
      <w:numFmt w:val="decimal"/>
      <w:lvlText w:val="(%1)"/>
      <w:lvlJc w:val="left"/>
      <w:pPr>
        <w:tabs>
          <w:tab w:val="left" w:pos="945"/>
        </w:tabs>
        <w:ind w:left="945" w:hanging="420"/>
      </w:pPr>
      <w:rPr>
        <w:rFonts w:hint="eastAsia"/>
      </w:rPr>
    </w:lvl>
    <w:lvl w:ilvl="1" w:tentative="0">
      <w:start w:val="1"/>
      <w:numFmt w:val="decimal"/>
      <w:pStyle w:val="146"/>
      <w:lvlText w:val="(%2)"/>
      <w:lvlJc w:val="left"/>
      <w:pPr>
        <w:tabs>
          <w:tab w:val="left" w:pos="420"/>
        </w:tabs>
        <w:ind w:left="42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3240"/>
        </w:tabs>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5B86750"/>
    <w:multiLevelType w:val="multilevel"/>
    <w:tmpl w:val="15B867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7B090C2"/>
    <w:multiLevelType w:val="singleLevel"/>
    <w:tmpl w:val="17B090C2"/>
    <w:lvl w:ilvl="0" w:tentative="0">
      <w:start w:val="3"/>
      <w:numFmt w:val="decimal"/>
      <w:suff w:val="space"/>
      <w:lvlText w:val="%1."/>
      <w:lvlJc w:val="left"/>
    </w:lvl>
  </w:abstractNum>
  <w:abstractNum w:abstractNumId="15">
    <w:nsid w:val="1C1B7276"/>
    <w:multiLevelType w:val="multilevel"/>
    <w:tmpl w:val="1C1B72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887E41"/>
    <w:multiLevelType w:val="multilevel"/>
    <w:tmpl w:val="25887E41"/>
    <w:lvl w:ilvl="0" w:tentative="0">
      <w:start w:val="4"/>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4CB13FD"/>
    <w:multiLevelType w:val="multilevel"/>
    <w:tmpl w:val="34CB13FD"/>
    <w:lvl w:ilvl="0" w:tentative="0">
      <w:start w:val="1"/>
      <w:numFmt w:val="decimal"/>
      <w:lvlText w:val="%1."/>
      <w:lvlJc w:val="left"/>
      <w:pPr>
        <w:tabs>
          <w:tab w:val="left" w:pos="562"/>
        </w:tabs>
        <w:ind w:left="562" w:hanging="420"/>
      </w:pPr>
      <w:rPr>
        <w:rFonts w:cs="Times New Roman"/>
      </w:rPr>
    </w:lvl>
    <w:lvl w:ilvl="1" w:tentative="0">
      <w:start w:val="1"/>
      <w:numFmt w:val="decimal"/>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18">
    <w:nsid w:val="3DE40432"/>
    <w:multiLevelType w:val="multilevel"/>
    <w:tmpl w:val="3DE40432"/>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9">
    <w:nsid w:val="3DF10017"/>
    <w:multiLevelType w:val="multilevel"/>
    <w:tmpl w:val="3DF100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FFB3A8B"/>
    <w:multiLevelType w:val="multilevel"/>
    <w:tmpl w:val="3FFB3A8B"/>
    <w:lvl w:ilvl="0" w:tentative="0">
      <w:start w:val="1"/>
      <w:numFmt w:val="decimal"/>
      <w:lvlText w:val="（%1）"/>
      <w:lvlJc w:val="left"/>
      <w:pPr>
        <w:ind w:left="1288"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48E53809"/>
    <w:multiLevelType w:val="multilevel"/>
    <w:tmpl w:val="48E538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E3D339B"/>
    <w:multiLevelType w:val="multilevel"/>
    <w:tmpl w:val="4E3D339B"/>
    <w:lvl w:ilvl="0" w:tentative="0">
      <w:start w:val="1"/>
      <w:numFmt w:val="decimal"/>
      <w:pStyle w:val="131"/>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23">
    <w:nsid w:val="5F5037C8"/>
    <w:multiLevelType w:val="multilevel"/>
    <w:tmpl w:val="5F5037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742D8B"/>
    <w:multiLevelType w:val="multilevel"/>
    <w:tmpl w:val="67742D8B"/>
    <w:lvl w:ilvl="0" w:tentative="0">
      <w:start w:val="1"/>
      <w:numFmt w:val="japaneseCounting"/>
      <w:pStyle w:val="129"/>
      <w:lvlText w:val="%1、"/>
      <w:lvlJc w:val="left"/>
      <w:pPr>
        <w:ind w:left="0" w:firstLine="0"/>
      </w:pPr>
      <w:rPr>
        <w:rFonts w:ascii="黑体" w:hAnsi="Calibri" w:eastAsia="黑体" w:cs="Times New Roman"/>
      </w:rPr>
    </w:lvl>
    <w:lvl w:ilvl="1" w:tentative="0">
      <w:start w:val="1"/>
      <w:numFmt w:val="chineseCountingThousand"/>
      <w:pStyle w:val="137"/>
      <w:lvlText w:val="(%2)"/>
      <w:lvlJc w:val="left"/>
      <w:pPr>
        <w:ind w:left="1257" w:firstLine="20"/>
      </w:pPr>
      <w:rPr>
        <w:rFonts w:hint="eastAsia"/>
      </w:rPr>
    </w:lvl>
    <w:lvl w:ilvl="2" w:tentative="0">
      <w:start w:val="1"/>
      <w:numFmt w:val="decimal"/>
      <w:pStyle w:val="134"/>
      <w:lvlText w:val="%3."/>
      <w:lvlJc w:val="left"/>
      <w:pPr>
        <w:ind w:left="885" w:hanging="34"/>
      </w:pPr>
      <w:rPr>
        <w:rFonts w:hint="eastAsia"/>
      </w:rPr>
    </w:lvl>
    <w:lvl w:ilvl="3" w:tentative="0">
      <w:start w:val="1"/>
      <w:numFmt w:val="decimal"/>
      <w:pStyle w:val="118"/>
      <w:lvlText w:val="(%4)"/>
      <w:lvlJc w:val="left"/>
      <w:pPr>
        <w:ind w:left="400" w:firstLine="20"/>
      </w:pPr>
      <w:rPr>
        <w:rFonts w:hint="eastAsia"/>
      </w:rPr>
    </w:lvl>
    <w:lvl w:ilvl="4" w:tentative="0">
      <w:start w:val="1"/>
      <w:numFmt w:val="decimal"/>
      <w:lvlText w:val="%1.%2.%3.%4.%5"/>
      <w:lvlJc w:val="left"/>
      <w:pPr>
        <w:ind w:left="1680" w:firstLine="0"/>
      </w:pPr>
      <w:rPr>
        <w:rFonts w:hint="eastAsia"/>
      </w:rPr>
    </w:lvl>
    <w:lvl w:ilvl="5" w:tentative="0">
      <w:start w:val="1"/>
      <w:numFmt w:val="decimal"/>
      <w:lvlText w:val="%1.%2.%3.%4.%5.%6"/>
      <w:lvlJc w:val="left"/>
      <w:pPr>
        <w:ind w:left="2100" w:firstLine="0"/>
      </w:pPr>
      <w:rPr>
        <w:rFonts w:hint="eastAsia"/>
      </w:rPr>
    </w:lvl>
    <w:lvl w:ilvl="6" w:tentative="0">
      <w:start w:val="1"/>
      <w:numFmt w:val="decimal"/>
      <w:lvlText w:val="%1.%2.%3.%4.%5.%6.%7"/>
      <w:lvlJc w:val="left"/>
      <w:pPr>
        <w:ind w:left="2520" w:firstLine="0"/>
      </w:pPr>
      <w:rPr>
        <w:rFonts w:hint="eastAsia"/>
      </w:rPr>
    </w:lvl>
    <w:lvl w:ilvl="7" w:tentative="0">
      <w:start w:val="1"/>
      <w:numFmt w:val="decimal"/>
      <w:lvlText w:val="%1.%2.%3.%4.%5.%6.%7.%8"/>
      <w:lvlJc w:val="left"/>
      <w:pPr>
        <w:ind w:left="2940" w:firstLine="0"/>
      </w:pPr>
      <w:rPr>
        <w:rFonts w:hint="eastAsia"/>
      </w:rPr>
    </w:lvl>
    <w:lvl w:ilvl="8" w:tentative="0">
      <w:start w:val="1"/>
      <w:numFmt w:val="decimal"/>
      <w:lvlText w:val="%1.%2.%3.%4.%5.%6.%7.%8.%9"/>
      <w:lvlJc w:val="left"/>
      <w:pPr>
        <w:ind w:left="3360" w:firstLine="0"/>
      </w:pPr>
      <w:rPr>
        <w:rFonts w:hint="eastAsia"/>
      </w:rPr>
    </w:lvl>
  </w:abstractNum>
  <w:abstractNum w:abstractNumId="25">
    <w:nsid w:val="6E7A17AE"/>
    <w:multiLevelType w:val="multilevel"/>
    <w:tmpl w:val="6E7A17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B62449"/>
    <w:multiLevelType w:val="multilevel"/>
    <w:tmpl w:val="75B62449"/>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7">
    <w:nsid w:val="7E0E38E5"/>
    <w:multiLevelType w:val="multilevel"/>
    <w:tmpl w:val="7E0E38E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855" w:hanging="15"/>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E3A5D6D"/>
    <w:multiLevelType w:val="multilevel"/>
    <w:tmpl w:val="7E3A5D6D"/>
    <w:lvl w:ilvl="0" w:tentative="0">
      <w:start w:val="1"/>
      <w:numFmt w:val="bullet"/>
      <w:pStyle w:val="121"/>
      <w:lvlText w:val=""/>
      <w:lvlJc w:val="left"/>
      <w:pPr>
        <w:ind w:left="620" w:hanging="420"/>
      </w:pPr>
      <w:rPr>
        <w:rFonts w:hint="default" w:ascii="Wingdings" w:hAnsi="Wingdings"/>
      </w:rPr>
    </w:lvl>
    <w:lvl w:ilvl="1" w:tentative="0">
      <w:start w:val="1"/>
      <w:numFmt w:val="bullet"/>
      <w:lvlText w:val=""/>
      <w:lvlJc w:val="left"/>
      <w:pPr>
        <w:tabs>
          <w:tab w:val="left" w:pos="1672"/>
        </w:tabs>
        <w:ind w:left="1672" w:hanging="420"/>
      </w:pPr>
      <w:rPr>
        <w:rFonts w:hint="default" w:ascii="Wingdings" w:hAnsi="Wingdings"/>
      </w:rPr>
    </w:lvl>
    <w:lvl w:ilvl="2" w:tentative="0">
      <w:start w:val="1"/>
      <w:numFmt w:val="bullet"/>
      <w:lvlText w:val=""/>
      <w:lvlJc w:val="left"/>
      <w:pPr>
        <w:tabs>
          <w:tab w:val="left" w:pos="2092"/>
        </w:tabs>
        <w:ind w:left="2092" w:hanging="420"/>
      </w:pPr>
      <w:rPr>
        <w:rFonts w:hint="default" w:ascii="Wingdings" w:hAnsi="Wingdings"/>
      </w:rPr>
    </w:lvl>
    <w:lvl w:ilvl="3" w:tentative="0">
      <w:start w:val="1"/>
      <w:numFmt w:val="bullet"/>
      <w:lvlText w:val=""/>
      <w:lvlJc w:val="left"/>
      <w:pPr>
        <w:tabs>
          <w:tab w:val="left" w:pos="2512"/>
        </w:tabs>
        <w:ind w:left="2512" w:hanging="420"/>
      </w:pPr>
      <w:rPr>
        <w:rFonts w:hint="default" w:ascii="Wingdings" w:hAnsi="Wingdings"/>
      </w:rPr>
    </w:lvl>
    <w:lvl w:ilvl="4" w:tentative="0">
      <w:start w:val="1"/>
      <w:numFmt w:val="bullet"/>
      <w:lvlText w:val=""/>
      <w:lvlJc w:val="left"/>
      <w:pPr>
        <w:tabs>
          <w:tab w:val="left" w:pos="2932"/>
        </w:tabs>
        <w:ind w:left="2932" w:hanging="420"/>
      </w:pPr>
      <w:rPr>
        <w:rFonts w:hint="default" w:ascii="Wingdings" w:hAnsi="Wingdings"/>
      </w:rPr>
    </w:lvl>
    <w:lvl w:ilvl="5" w:tentative="0">
      <w:start w:val="1"/>
      <w:numFmt w:val="bullet"/>
      <w:lvlText w:val=""/>
      <w:lvlJc w:val="left"/>
      <w:pPr>
        <w:tabs>
          <w:tab w:val="left" w:pos="3352"/>
        </w:tabs>
        <w:ind w:left="3352" w:hanging="420"/>
      </w:pPr>
      <w:rPr>
        <w:rFonts w:hint="default" w:ascii="Wingdings" w:hAnsi="Wingdings"/>
      </w:rPr>
    </w:lvl>
    <w:lvl w:ilvl="6" w:tentative="0">
      <w:start w:val="1"/>
      <w:numFmt w:val="bullet"/>
      <w:lvlText w:val=""/>
      <w:lvlJc w:val="left"/>
      <w:pPr>
        <w:tabs>
          <w:tab w:val="left" w:pos="3772"/>
        </w:tabs>
        <w:ind w:left="3772" w:hanging="420"/>
      </w:pPr>
      <w:rPr>
        <w:rFonts w:hint="default" w:ascii="Wingdings" w:hAnsi="Wingdings"/>
      </w:rPr>
    </w:lvl>
    <w:lvl w:ilvl="7" w:tentative="0">
      <w:start w:val="1"/>
      <w:numFmt w:val="bullet"/>
      <w:lvlText w:val=""/>
      <w:lvlJc w:val="left"/>
      <w:pPr>
        <w:tabs>
          <w:tab w:val="left" w:pos="4192"/>
        </w:tabs>
        <w:ind w:left="4192" w:hanging="420"/>
      </w:pPr>
      <w:rPr>
        <w:rFonts w:hint="default" w:ascii="Wingdings" w:hAnsi="Wingdings"/>
      </w:rPr>
    </w:lvl>
    <w:lvl w:ilvl="8" w:tentative="0">
      <w:start w:val="1"/>
      <w:numFmt w:val="bullet"/>
      <w:lvlText w:val=""/>
      <w:lvlJc w:val="left"/>
      <w:pPr>
        <w:tabs>
          <w:tab w:val="left" w:pos="4612"/>
        </w:tabs>
        <w:ind w:left="4612" w:hanging="420"/>
      </w:pPr>
      <w:rPr>
        <w:rFonts w:hint="default" w:ascii="Wingdings" w:hAnsi="Wingdings"/>
      </w:rPr>
    </w:lvl>
  </w:abstractNum>
  <w:num w:numId="1">
    <w:abstractNumId w:val="5"/>
  </w:num>
  <w:num w:numId="2">
    <w:abstractNumId w:val="3"/>
  </w:num>
  <w:num w:numId="3">
    <w:abstractNumId w:val="4"/>
  </w:num>
  <w:num w:numId="4">
    <w:abstractNumId w:val="2"/>
  </w:num>
  <w:num w:numId="5">
    <w:abstractNumId w:val="24"/>
  </w:num>
  <w:num w:numId="6">
    <w:abstractNumId w:val="28"/>
  </w:num>
  <w:num w:numId="7">
    <w:abstractNumId w:val="22"/>
  </w:num>
  <w:num w:numId="8">
    <w:abstractNumId w:val="10"/>
  </w:num>
  <w:num w:numId="9">
    <w:abstractNumId w:val="12"/>
  </w:num>
  <w:num w:numId="10">
    <w:abstractNumId w:val="14"/>
  </w:num>
  <w:num w:numId="11">
    <w:abstractNumId w:val="0"/>
  </w:num>
  <w:num w:numId="12">
    <w:abstractNumId w:val="1"/>
  </w:num>
  <w:num w:numId="13">
    <w:abstractNumId w:val="8"/>
  </w:num>
  <w:num w:numId="14">
    <w:abstractNumId w:val="9"/>
  </w:num>
  <w:num w:numId="15">
    <w:abstractNumId w:val="7"/>
  </w:num>
  <w:num w:numId="16">
    <w:abstractNumId w:val="6"/>
  </w:num>
  <w:num w:numId="17">
    <w:abstractNumId w:val="11"/>
  </w:num>
  <w:num w:numId="18">
    <w:abstractNumId w:val="27"/>
  </w:num>
  <w:num w:numId="19">
    <w:abstractNumId w:val="25"/>
  </w:num>
  <w:num w:numId="20">
    <w:abstractNumId w:val="13"/>
  </w:num>
  <w:num w:numId="21">
    <w:abstractNumId w:val="21"/>
  </w:num>
  <w:num w:numId="22">
    <w:abstractNumId w:val="26"/>
  </w:num>
  <w:num w:numId="23">
    <w:abstractNumId w:val="18"/>
  </w:num>
  <w:num w:numId="24">
    <w:abstractNumId w:val="16"/>
  </w:num>
  <w:num w:numId="25">
    <w:abstractNumId w:val="15"/>
  </w:num>
  <w:num w:numId="26">
    <w:abstractNumId w:val="20"/>
  </w:num>
  <w:num w:numId="27">
    <w:abstractNumId w:val="23"/>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NjhiZmVhMzBiMWI1YWIyYjg2ZTRjZGIyZjc0NzYifQ=="/>
  </w:docVars>
  <w:rsids>
    <w:rsidRoot w:val="00510462"/>
    <w:rsid w:val="0000469B"/>
    <w:rsid w:val="000055DC"/>
    <w:rsid w:val="00010A85"/>
    <w:rsid w:val="00010C1F"/>
    <w:rsid w:val="00013BCE"/>
    <w:rsid w:val="00027380"/>
    <w:rsid w:val="0003069C"/>
    <w:rsid w:val="000310C2"/>
    <w:rsid w:val="00042F19"/>
    <w:rsid w:val="00043EAF"/>
    <w:rsid w:val="00070BB3"/>
    <w:rsid w:val="000718EB"/>
    <w:rsid w:val="00071E5D"/>
    <w:rsid w:val="000724B2"/>
    <w:rsid w:val="00074CB5"/>
    <w:rsid w:val="0008487B"/>
    <w:rsid w:val="00085EF9"/>
    <w:rsid w:val="0009456D"/>
    <w:rsid w:val="000952E5"/>
    <w:rsid w:val="00096718"/>
    <w:rsid w:val="000A133B"/>
    <w:rsid w:val="000A7C40"/>
    <w:rsid w:val="000B42D8"/>
    <w:rsid w:val="000C1112"/>
    <w:rsid w:val="000C2397"/>
    <w:rsid w:val="000C2735"/>
    <w:rsid w:val="000C3D10"/>
    <w:rsid w:val="000F4E43"/>
    <w:rsid w:val="00104BD0"/>
    <w:rsid w:val="00111540"/>
    <w:rsid w:val="00111958"/>
    <w:rsid w:val="00124512"/>
    <w:rsid w:val="00124EF8"/>
    <w:rsid w:val="001318CD"/>
    <w:rsid w:val="0013412C"/>
    <w:rsid w:val="00134C80"/>
    <w:rsid w:val="00136C48"/>
    <w:rsid w:val="00142212"/>
    <w:rsid w:val="0016687D"/>
    <w:rsid w:val="001710AB"/>
    <w:rsid w:val="00177BC0"/>
    <w:rsid w:val="0018072F"/>
    <w:rsid w:val="00181F59"/>
    <w:rsid w:val="00184A77"/>
    <w:rsid w:val="00186079"/>
    <w:rsid w:val="00186399"/>
    <w:rsid w:val="001A05F0"/>
    <w:rsid w:val="001C64B6"/>
    <w:rsid w:val="001D0E26"/>
    <w:rsid w:val="001D39C1"/>
    <w:rsid w:val="001E2C67"/>
    <w:rsid w:val="001E445E"/>
    <w:rsid w:val="001E7064"/>
    <w:rsid w:val="001E7284"/>
    <w:rsid w:val="00205C18"/>
    <w:rsid w:val="00235220"/>
    <w:rsid w:val="00250CE3"/>
    <w:rsid w:val="002524B1"/>
    <w:rsid w:val="00255D39"/>
    <w:rsid w:val="00261A2D"/>
    <w:rsid w:val="002623EF"/>
    <w:rsid w:val="00273453"/>
    <w:rsid w:val="00277AF1"/>
    <w:rsid w:val="002836A3"/>
    <w:rsid w:val="00283AFE"/>
    <w:rsid w:val="00285420"/>
    <w:rsid w:val="002860A5"/>
    <w:rsid w:val="002924FF"/>
    <w:rsid w:val="002A5AD8"/>
    <w:rsid w:val="002A72F5"/>
    <w:rsid w:val="002A7CC9"/>
    <w:rsid w:val="002B0F0F"/>
    <w:rsid w:val="002C32B5"/>
    <w:rsid w:val="002F46C2"/>
    <w:rsid w:val="00304AA3"/>
    <w:rsid w:val="0032362D"/>
    <w:rsid w:val="00324B4E"/>
    <w:rsid w:val="00334E55"/>
    <w:rsid w:val="003360E8"/>
    <w:rsid w:val="00340E7A"/>
    <w:rsid w:val="003427A6"/>
    <w:rsid w:val="00345CA9"/>
    <w:rsid w:val="003526F4"/>
    <w:rsid w:val="00357491"/>
    <w:rsid w:val="00360C0C"/>
    <w:rsid w:val="00364296"/>
    <w:rsid w:val="003672C3"/>
    <w:rsid w:val="00377A6C"/>
    <w:rsid w:val="00377E32"/>
    <w:rsid w:val="00386F9E"/>
    <w:rsid w:val="003A1F26"/>
    <w:rsid w:val="003A570A"/>
    <w:rsid w:val="003B1B04"/>
    <w:rsid w:val="003B1CCE"/>
    <w:rsid w:val="003B1D2E"/>
    <w:rsid w:val="003B33D3"/>
    <w:rsid w:val="003B4ABC"/>
    <w:rsid w:val="003D6C33"/>
    <w:rsid w:val="003E452B"/>
    <w:rsid w:val="003E5025"/>
    <w:rsid w:val="003F7352"/>
    <w:rsid w:val="004155B1"/>
    <w:rsid w:val="004170DE"/>
    <w:rsid w:val="00420953"/>
    <w:rsid w:val="00423988"/>
    <w:rsid w:val="0042416C"/>
    <w:rsid w:val="004312C5"/>
    <w:rsid w:val="00432B21"/>
    <w:rsid w:val="004404D3"/>
    <w:rsid w:val="00440BB4"/>
    <w:rsid w:val="004502C3"/>
    <w:rsid w:val="0045775C"/>
    <w:rsid w:val="00462223"/>
    <w:rsid w:val="004650AA"/>
    <w:rsid w:val="00473604"/>
    <w:rsid w:val="004740B3"/>
    <w:rsid w:val="00474210"/>
    <w:rsid w:val="00477B16"/>
    <w:rsid w:val="00480A1F"/>
    <w:rsid w:val="00482761"/>
    <w:rsid w:val="00486EAA"/>
    <w:rsid w:val="0049058D"/>
    <w:rsid w:val="004926A9"/>
    <w:rsid w:val="00497AC6"/>
    <w:rsid w:val="004A0C36"/>
    <w:rsid w:val="004A2616"/>
    <w:rsid w:val="004A47A9"/>
    <w:rsid w:val="004B1424"/>
    <w:rsid w:val="004B5A21"/>
    <w:rsid w:val="004B7A1A"/>
    <w:rsid w:val="004C359E"/>
    <w:rsid w:val="004D3A66"/>
    <w:rsid w:val="004D4A30"/>
    <w:rsid w:val="004E7F83"/>
    <w:rsid w:val="004F4B70"/>
    <w:rsid w:val="004F6369"/>
    <w:rsid w:val="0050540E"/>
    <w:rsid w:val="00510462"/>
    <w:rsid w:val="00510561"/>
    <w:rsid w:val="005234DE"/>
    <w:rsid w:val="0052523D"/>
    <w:rsid w:val="00525A7B"/>
    <w:rsid w:val="00533BEF"/>
    <w:rsid w:val="0054118A"/>
    <w:rsid w:val="00541599"/>
    <w:rsid w:val="00564C13"/>
    <w:rsid w:val="005656B7"/>
    <w:rsid w:val="00580B39"/>
    <w:rsid w:val="00583F0D"/>
    <w:rsid w:val="00584AC4"/>
    <w:rsid w:val="005855C6"/>
    <w:rsid w:val="005923D0"/>
    <w:rsid w:val="00593765"/>
    <w:rsid w:val="005A6A95"/>
    <w:rsid w:val="005A6F6E"/>
    <w:rsid w:val="005B1786"/>
    <w:rsid w:val="005B1F2A"/>
    <w:rsid w:val="005B4D66"/>
    <w:rsid w:val="005D3A4E"/>
    <w:rsid w:val="005D5975"/>
    <w:rsid w:val="005E2849"/>
    <w:rsid w:val="005E4E81"/>
    <w:rsid w:val="005F34F2"/>
    <w:rsid w:val="005F40D4"/>
    <w:rsid w:val="006038AF"/>
    <w:rsid w:val="00616EB1"/>
    <w:rsid w:val="00622998"/>
    <w:rsid w:val="00627FCD"/>
    <w:rsid w:val="00630C4F"/>
    <w:rsid w:val="00651EAA"/>
    <w:rsid w:val="00653330"/>
    <w:rsid w:val="0065345B"/>
    <w:rsid w:val="00665A18"/>
    <w:rsid w:val="00670F61"/>
    <w:rsid w:val="0067184A"/>
    <w:rsid w:val="006774ED"/>
    <w:rsid w:val="00687E33"/>
    <w:rsid w:val="006A1DAC"/>
    <w:rsid w:val="006B746C"/>
    <w:rsid w:val="006B7CA7"/>
    <w:rsid w:val="006C0BFD"/>
    <w:rsid w:val="006C2829"/>
    <w:rsid w:val="006C31D8"/>
    <w:rsid w:val="006C39EE"/>
    <w:rsid w:val="006C5BC4"/>
    <w:rsid w:val="006D2DE9"/>
    <w:rsid w:val="006D34E0"/>
    <w:rsid w:val="006D5C4C"/>
    <w:rsid w:val="006E192F"/>
    <w:rsid w:val="006E26BC"/>
    <w:rsid w:val="006E58ED"/>
    <w:rsid w:val="006E6E04"/>
    <w:rsid w:val="006E7AA7"/>
    <w:rsid w:val="006F7E73"/>
    <w:rsid w:val="007020E1"/>
    <w:rsid w:val="007030FE"/>
    <w:rsid w:val="00703197"/>
    <w:rsid w:val="00717694"/>
    <w:rsid w:val="007248EB"/>
    <w:rsid w:val="00732902"/>
    <w:rsid w:val="00734227"/>
    <w:rsid w:val="0073658D"/>
    <w:rsid w:val="00736EA1"/>
    <w:rsid w:val="00740134"/>
    <w:rsid w:val="00742724"/>
    <w:rsid w:val="0074619F"/>
    <w:rsid w:val="0075264B"/>
    <w:rsid w:val="0076036B"/>
    <w:rsid w:val="00761A58"/>
    <w:rsid w:val="00761BAE"/>
    <w:rsid w:val="00763C6B"/>
    <w:rsid w:val="00764C98"/>
    <w:rsid w:val="0077114C"/>
    <w:rsid w:val="00776FDA"/>
    <w:rsid w:val="0079383A"/>
    <w:rsid w:val="007979B1"/>
    <w:rsid w:val="007A0A25"/>
    <w:rsid w:val="007A148F"/>
    <w:rsid w:val="007A1CA1"/>
    <w:rsid w:val="007A3E75"/>
    <w:rsid w:val="007A3EC6"/>
    <w:rsid w:val="007A60AD"/>
    <w:rsid w:val="007A689B"/>
    <w:rsid w:val="007B0206"/>
    <w:rsid w:val="007B06E3"/>
    <w:rsid w:val="007B30F2"/>
    <w:rsid w:val="007C50A2"/>
    <w:rsid w:val="007D29E7"/>
    <w:rsid w:val="007D36EB"/>
    <w:rsid w:val="007E1BBB"/>
    <w:rsid w:val="007F2338"/>
    <w:rsid w:val="007F61AB"/>
    <w:rsid w:val="007F6876"/>
    <w:rsid w:val="00803343"/>
    <w:rsid w:val="008037FC"/>
    <w:rsid w:val="00812BA7"/>
    <w:rsid w:val="008145CE"/>
    <w:rsid w:val="00815D2D"/>
    <w:rsid w:val="00821B41"/>
    <w:rsid w:val="00833513"/>
    <w:rsid w:val="00834EBB"/>
    <w:rsid w:val="008406C2"/>
    <w:rsid w:val="00856CB3"/>
    <w:rsid w:val="00864906"/>
    <w:rsid w:val="00874BA4"/>
    <w:rsid w:val="00880D85"/>
    <w:rsid w:val="008821D6"/>
    <w:rsid w:val="00882C10"/>
    <w:rsid w:val="00883C54"/>
    <w:rsid w:val="0089193E"/>
    <w:rsid w:val="008954A4"/>
    <w:rsid w:val="008A02CC"/>
    <w:rsid w:val="008A7725"/>
    <w:rsid w:val="008B65E3"/>
    <w:rsid w:val="008B69E6"/>
    <w:rsid w:val="008C12C9"/>
    <w:rsid w:val="008C40A1"/>
    <w:rsid w:val="008D76AF"/>
    <w:rsid w:val="008D79E9"/>
    <w:rsid w:val="008D7B4A"/>
    <w:rsid w:val="008E1ACC"/>
    <w:rsid w:val="008E6EE4"/>
    <w:rsid w:val="008E7537"/>
    <w:rsid w:val="008F6661"/>
    <w:rsid w:val="009001F7"/>
    <w:rsid w:val="00900B99"/>
    <w:rsid w:val="00901D9A"/>
    <w:rsid w:val="00902798"/>
    <w:rsid w:val="00903FFF"/>
    <w:rsid w:val="00913D2F"/>
    <w:rsid w:val="0091489B"/>
    <w:rsid w:val="00921463"/>
    <w:rsid w:val="00921817"/>
    <w:rsid w:val="00921961"/>
    <w:rsid w:val="009230F0"/>
    <w:rsid w:val="00930E5E"/>
    <w:rsid w:val="00933D90"/>
    <w:rsid w:val="009360FB"/>
    <w:rsid w:val="0094252A"/>
    <w:rsid w:val="009526A0"/>
    <w:rsid w:val="00960096"/>
    <w:rsid w:val="00960232"/>
    <w:rsid w:val="00961E99"/>
    <w:rsid w:val="0096288E"/>
    <w:rsid w:val="009679A6"/>
    <w:rsid w:val="0097121E"/>
    <w:rsid w:val="0097556D"/>
    <w:rsid w:val="00977684"/>
    <w:rsid w:val="0098259B"/>
    <w:rsid w:val="0098548D"/>
    <w:rsid w:val="009A4C5C"/>
    <w:rsid w:val="009B4450"/>
    <w:rsid w:val="009B6E3B"/>
    <w:rsid w:val="009C2F9C"/>
    <w:rsid w:val="009E40D5"/>
    <w:rsid w:val="009F0A03"/>
    <w:rsid w:val="009F5A7B"/>
    <w:rsid w:val="009F6806"/>
    <w:rsid w:val="00A0080A"/>
    <w:rsid w:val="00A02EEE"/>
    <w:rsid w:val="00A03847"/>
    <w:rsid w:val="00A110E0"/>
    <w:rsid w:val="00A113CA"/>
    <w:rsid w:val="00A17588"/>
    <w:rsid w:val="00A21096"/>
    <w:rsid w:val="00A21E7C"/>
    <w:rsid w:val="00A31EF3"/>
    <w:rsid w:val="00A33D98"/>
    <w:rsid w:val="00A41C98"/>
    <w:rsid w:val="00A41D43"/>
    <w:rsid w:val="00A63025"/>
    <w:rsid w:val="00A7427E"/>
    <w:rsid w:val="00A76A88"/>
    <w:rsid w:val="00A8443C"/>
    <w:rsid w:val="00A92016"/>
    <w:rsid w:val="00A979CE"/>
    <w:rsid w:val="00A97F38"/>
    <w:rsid w:val="00AA2293"/>
    <w:rsid w:val="00AD4C04"/>
    <w:rsid w:val="00AE7BC3"/>
    <w:rsid w:val="00B017D9"/>
    <w:rsid w:val="00B0586C"/>
    <w:rsid w:val="00B12908"/>
    <w:rsid w:val="00B147CC"/>
    <w:rsid w:val="00B15512"/>
    <w:rsid w:val="00B2149B"/>
    <w:rsid w:val="00B24BF1"/>
    <w:rsid w:val="00B251DB"/>
    <w:rsid w:val="00B27A6A"/>
    <w:rsid w:val="00B37087"/>
    <w:rsid w:val="00B54E85"/>
    <w:rsid w:val="00B55685"/>
    <w:rsid w:val="00B6114E"/>
    <w:rsid w:val="00B645A1"/>
    <w:rsid w:val="00B67822"/>
    <w:rsid w:val="00B75F3A"/>
    <w:rsid w:val="00B81C26"/>
    <w:rsid w:val="00B82381"/>
    <w:rsid w:val="00B827A5"/>
    <w:rsid w:val="00B84997"/>
    <w:rsid w:val="00B85358"/>
    <w:rsid w:val="00B93303"/>
    <w:rsid w:val="00B93F97"/>
    <w:rsid w:val="00B973C5"/>
    <w:rsid w:val="00BC0B3B"/>
    <w:rsid w:val="00BD4962"/>
    <w:rsid w:val="00BE0236"/>
    <w:rsid w:val="00BE208E"/>
    <w:rsid w:val="00BE61EA"/>
    <w:rsid w:val="00BE7FFA"/>
    <w:rsid w:val="00BF33A4"/>
    <w:rsid w:val="00C21CF9"/>
    <w:rsid w:val="00C26781"/>
    <w:rsid w:val="00C3209A"/>
    <w:rsid w:val="00C33FF0"/>
    <w:rsid w:val="00C405DF"/>
    <w:rsid w:val="00C5063C"/>
    <w:rsid w:val="00C579C3"/>
    <w:rsid w:val="00C6207D"/>
    <w:rsid w:val="00C6220A"/>
    <w:rsid w:val="00C70330"/>
    <w:rsid w:val="00C71704"/>
    <w:rsid w:val="00C723A8"/>
    <w:rsid w:val="00C96A4C"/>
    <w:rsid w:val="00C96FFB"/>
    <w:rsid w:val="00CA1509"/>
    <w:rsid w:val="00CA1CA1"/>
    <w:rsid w:val="00CB5AB1"/>
    <w:rsid w:val="00CC7433"/>
    <w:rsid w:val="00CD1DF4"/>
    <w:rsid w:val="00CD37BC"/>
    <w:rsid w:val="00CD3F7A"/>
    <w:rsid w:val="00CD6CBF"/>
    <w:rsid w:val="00CF1320"/>
    <w:rsid w:val="00CF7631"/>
    <w:rsid w:val="00D06611"/>
    <w:rsid w:val="00D279FB"/>
    <w:rsid w:val="00D40927"/>
    <w:rsid w:val="00D519C7"/>
    <w:rsid w:val="00D621E4"/>
    <w:rsid w:val="00D861A5"/>
    <w:rsid w:val="00D8632D"/>
    <w:rsid w:val="00D91EB0"/>
    <w:rsid w:val="00D936AC"/>
    <w:rsid w:val="00D97A66"/>
    <w:rsid w:val="00DA40C6"/>
    <w:rsid w:val="00DA4EB7"/>
    <w:rsid w:val="00DA5254"/>
    <w:rsid w:val="00DC2D00"/>
    <w:rsid w:val="00DC74DF"/>
    <w:rsid w:val="00DD107F"/>
    <w:rsid w:val="00DD227B"/>
    <w:rsid w:val="00DD29ED"/>
    <w:rsid w:val="00DD6C6B"/>
    <w:rsid w:val="00DE1D67"/>
    <w:rsid w:val="00DE5294"/>
    <w:rsid w:val="00DF2778"/>
    <w:rsid w:val="00DF71BC"/>
    <w:rsid w:val="00E00215"/>
    <w:rsid w:val="00E01AF0"/>
    <w:rsid w:val="00E1226A"/>
    <w:rsid w:val="00E20221"/>
    <w:rsid w:val="00E25555"/>
    <w:rsid w:val="00E25D3A"/>
    <w:rsid w:val="00E30288"/>
    <w:rsid w:val="00E31291"/>
    <w:rsid w:val="00E3332D"/>
    <w:rsid w:val="00E34C9B"/>
    <w:rsid w:val="00E404DA"/>
    <w:rsid w:val="00E43CF6"/>
    <w:rsid w:val="00E46BFE"/>
    <w:rsid w:val="00E564AE"/>
    <w:rsid w:val="00E639C5"/>
    <w:rsid w:val="00E645B3"/>
    <w:rsid w:val="00E721C0"/>
    <w:rsid w:val="00E770DF"/>
    <w:rsid w:val="00E86C3B"/>
    <w:rsid w:val="00EA0BB5"/>
    <w:rsid w:val="00EA4E2A"/>
    <w:rsid w:val="00EC2E9E"/>
    <w:rsid w:val="00EC2FCB"/>
    <w:rsid w:val="00EC5837"/>
    <w:rsid w:val="00ED0821"/>
    <w:rsid w:val="00ED3B0D"/>
    <w:rsid w:val="00ED441C"/>
    <w:rsid w:val="00ED6693"/>
    <w:rsid w:val="00ED67EB"/>
    <w:rsid w:val="00EE0326"/>
    <w:rsid w:val="00EE2752"/>
    <w:rsid w:val="00EF4427"/>
    <w:rsid w:val="00EF50D6"/>
    <w:rsid w:val="00F01464"/>
    <w:rsid w:val="00F0178B"/>
    <w:rsid w:val="00F14831"/>
    <w:rsid w:val="00F214BD"/>
    <w:rsid w:val="00F253C5"/>
    <w:rsid w:val="00F265DC"/>
    <w:rsid w:val="00F3665D"/>
    <w:rsid w:val="00F40614"/>
    <w:rsid w:val="00F4082E"/>
    <w:rsid w:val="00F40E02"/>
    <w:rsid w:val="00F458CD"/>
    <w:rsid w:val="00F55CB8"/>
    <w:rsid w:val="00F62B18"/>
    <w:rsid w:val="00F75833"/>
    <w:rsid w:val="00F82132"/>
    <w:rsid w:val="00F95335"/>
    <w:rsid w:val="00F95938"/>
    <w:rsid w:val="00FB19C9"/>
    <w:rsid w:val="00FB6DF7"/>
    <w:rsid w:val="00FB70BF"/>
    <w:rsid w:val="00FC2749"/>
    <w:rsid w:val="00FC6ADA"/>
    <w:rsid w:val="00FD4EB3"/>
    <w:rsid w:val="00FD5552"/>
    <w:rsid w:val="00FD5CFC"/>
    <w:rsid w:val="00FE0681"/>
    <w:rsid w:val="00FE33BF"/>
    <w:rsid w:val="00FE7D7F"/>
    <w:rsid w:val="00FF0C5F"/>
    <w:rsid w:val="00FF0F0D"/>
    <w:rsid w:val="01FA1B19"/>
    <w:rsid w:val="02295816"/>
    <w:rsid w:val="02584AFD"/>
    <w:rsid w:val="02C04B71"/>
    <w:rsid w:val="02CA2CEA"/>
    <w:rsid w:val="02EB34E0"/>
    <w:rsid w:val="03145E15"/>
    <w:rsid w:val="03720406"/>
    <w:rsid w:val="037C1DAE"/>
    <w:rsid w:val="0391179A"/>
    <w:rsid w:val="03B126E5"/>
    <w:rsid w:val="03E97819"/>
    <w:rsid w:val="04802ACA"/>
    <w:rsid w:val="04A34C54"/>
    <w:rsid w:val="04DD7B5E"/>
    <w:rsid w:val="05744022"/>
    <w:rsid w:val="05A43723"/>
    <w:rsid w:val="05C928A8"/>
    <w:rsid w:val="05D9035E"/>
    <w:rsid w:val="061C155E"/>
    <w:rsid w:val="072877AC"/>
    <w:rsid w:val="075C4898"/>
    <w:rsid w:val="08EE56C1"/>
    <w:rsid w:val="092C77B9"/>
    <w:rsid w:val="09342EC5"/>
    <w:rsid w:val="094E5FD8"/>
    <w:rsid w:val="09557D39"/>
    <w:rsid w:val="09612FE3"/>
    <w:rsid w:val="098F2E49"/>
    <w:rsid w:val="0A200D6A"/>
    <w:rsid w:val="0A4568F1"/>
    <w:rsid w:val="0A802268"/>
    <w:rsid w:val="0A8552F3"/>
    <w:rsid w:val="0A8E252F"/>
    <w:rsid w:val="0AC836A0"/>
    <w:rsid w:val="0B714631"/>
    <w:rsid w:val="0BC73BCB"/>
    <w:rsid w:val="0BCA33B5"/>
    <w:rsid w:val="0BDF704E"/>
    <w:rsid w:val="0C335F9C"/>
    <w:rsid w:val="0C5F68F7"/>
    <w:rsid w:val="0D14285C"/>
    <w:rsid w:val="0D3D5635"/>
    <w:rsid w:val="0D5E204F"/>
    <w:rsid w:val="0D5F1DC6"/>
    <w:rsid w:val="0F4C32AE"/>
    <w:rsid w:val="0F720028"/>
    <w:rsid w:val="0F830861"/>
    <w:rsid w:val="101557E7"/>
    <w:rsid w:val="105241A1"/>
    <w:rsid w:val="107D42F7"/>
    <w:rsid w:val="108D77C4"/>
    <w:rsid w:val="10F313B0"/>
    <w:rsid w:val="11426D69"/>
    <w:rsid w:val="115C3EE6"/>
    <w:rsid w:val="129A174D"/>
    <w:rsid w:val="129B52F4"/>
    <w:rsid w:val="131D48C7"/>
    <w:rsid w:val="13B148AF"/>
    <w:rsid w:val="13B433F2"/>
    <w:rsid w:val="144B7799"/>
    <w:rsid w:val="14BF5FD3"/>
    <w:rsid w:val="14EE4310"/>
    <w:rsid w:val="14FF7D66"/>
    <w:rsid w:val="15040F0A"/>
    <w:rsid w:val="162F7C2F"/>
    <w:rsid w:val="1693043E"/>
    <w:rsid w:val="169E10D8"/>
    <w:rsid w:val="16C0671B"/>
    <w:rsid w:val="16F23D9F"/>
    <w:rsid w:val="174E068A"/>
    <w:rsid w:val="175E3D48"/>
    <w:rsid w:val="18152673"/>
    <w:rsid w:val="182A7DB2"/>
    <w:rsid w:val="18355CFA"/>
    <w:rsid w:val="18375294"/>
    <w:rsid w:val="191601AB"/>
    <w:rsid w:val="19210083"/>
    <w:rsid w:val="196C4703"/>
    <w:rsid w:val="19966261"/>
    <w:rsid w:val="19AB6D75"/>
    <w:rsid w:val="19B92BFA"/>
    <w:rsid w:val="1A4D1B36"/>
    <w:rsid w:val="1A7C6165"/>
    <w:rsid w:val="1A83521F"/>
    <w:rsid w:val="1ACF4F1D"/>
    <w:rsid w:val="1B0F412D"/>
    <w:rsid w:val="1B223EAD"/>
    <w:rsid w:val="1B8F6ACC"/>
    <w:rsid w:val="1BD55724"/>
    <w:rsid w:val="1C780CDC"/>
    <w:rsid w:val="1DEF7007"/>
    <w:rsid w:val="1E146493"/>
    <w:rsid w:val="1E9608FC"/>
    <w:rsid w:val="1ED300F0"/>
    <w:rsid w:val="1FBC6BD8"/>
    <w:rsid w:val="1FE930EE"/>
    <w:rsid w:val="207E55EA"/>
    <w:rsid w:val="20864BE1"/>
    <w:rsid w:val="212F22CF"/>
    <w:rsid w:val="217C535A"/>
    <w:rsid w:val="21955CF5"/>
    <w:rsid w:val="220A26C9"/>
    <w:rsid w:val="22844446"/>
    <w:rsid w:val="238407A0"/>
    <w:rsid w:val="23B608F5"/>
    <w:rsid w:val="23BC6C04"/>
    <w:rsid w:val="23F435C7"/>
    <w:rsid w:val="24B126B0"/>
    <w:rsid w:val="24C0772E"/>
    <w:rsid w:val="24C73BB2"/>
    <w:rsid w:val="254C5F9B"/>
    <w:rsid w:val="2580012A"/>
    <w:rsid w:val="258419B5"/>
    <w:rsid w:val="259313D4"/>
    <w:rsid w:val="25E0009C"/>
    <w:rsid w:val="26154945"/>
    <w:rsid w:val="267D1A9C"/>
    <w:rsid w:val="26A86146"/>
    <w:rsid w:val="26AE5B43"/>
    <w:rsid w:val="299A532C"/>
    <w:rsid w:val="29AD16B2"/>
    <w:rsid w:val="29CA0F90"/>
    <w:rsid w:val="29D85A91"/>
    <w:rsid w:val="2A197DF3"/>
    <w:rsid w:val="2AAD0588"/>
    <w:rsid w:val="2AF54C9B"/>
    <w:rsid w:val="2B584700"/>
    <w:rsid w:val="2B807F0B"/>
    <w:rsid w:val="2BAD3A09"/>
    <w:rsid w:val="2C1D527E"/>
    <w:rsid w:val="2C816539"/>
    <w:rsid w:val="2C8B44BC"/>
    <w:rsid w:val="2D327628"/>
    <w:rsid w:val="2D6F5094"/>
    <w:rsid w:val="2DA72F42"/>
    <w:rsid w:val="2DD16A53"/>
    <w:rsid w:val="2DD351AE"/>
    <w:rsid w:val="2E6405EC"/>
    <w:rsid w:val="2E9B6EA2"/>
    <w:rsid w:val="2F13765E"/>
    <w:rsid w:val="2F3249E1"/>
    <w:rsid w:val="30953530"/>
    <w:rsid w:val="30B068BC"/>
    <w:rsid w:val="30BE1098"/>
    <w:rsid w:val="316F7B0F"/>
    <w:rsid w:val="31D56300"/>
    <w:rsid w:val="322D08C9"/>
    <w:rsid w:val="328629D4"/>
    <w:rsid w:val="32D70E21"/>
    <w:rsid w:val="33831D7E"/>
    <w:rsid w:val="33FF699F"/>
    <w:rsid w:val="34945376"/>
    <w:rsid w:val="34AF6F58"/>
    <w:rsid w:val="34B14E03"/>
    <w:rsid w:val="34E158E8"/>
    <w:rsid w:val="352759DB"/>
    <w:rsid w:val="36034A2D"/>
    <w:rsid w:val="36483A52"/>
    <w:rsid w:val="36902660"/>
    <w:rsid w:val="37E63F07"/>
    <w:rsid w:val="37F64E57"/>
    <w:rsid w:val="38181DE0"/>
    <w:rsid w:val="3845125B"/>
    <w:rsid w:val="384B05B0"/>
    <w:rsid w:val="38AC7680"/>
    <w:rsid w:val="38CA4089"/>
    <w:rsid w:val="39B83E04"/>
    <w:rsid w:val="39D2349B"/>
    <w:rsid w:val="39D4030C"/>
    <w:rsid w:val="3B011EB4"/>
    <w:rsid w:val="3C01451D"/>
    <w:rsid w:val="3C7B79E8"/>
    <w:rsid w:val="3CA17E25"/>
    <w:rsid w:val="3D2E0336"/>
    <w:rsid w:val="3D45521C"/>
    <w:rsid w:val="3D7A63B4"/>
    <w:rsid w:val="3E505BB8"/>
    <w:rsid w:val="3F9E3DE0"/>
    <w:rsid w:val="3FD41A06"/>
    <w:rsid w:val="400A11D5"/>
    <w:rsid w:val="401F461E"/>
    <w:rsid w:val="40AB76CE"/>
    <w:rsid w:val="417E194F"/>
    <w:rsid w:val="417F55EF"/>
    <w:rsid w:val="41AE0243"/>
    <w:rsid w:val="424A606E"/>
    <w:rsid w:val="428F6A3D"/>
    <w:rsid w:val="43555B60"/>
    <w:rsid w:val="43AA7D26"/>
    <w:rsid w:val="43D53C78"/>
    <w:rsid w:val="44457FDE"/>
    <w:rsid w:val="44B6684D"/>
    <w:rsid w:val="44C8070C"/>
    <w:rsid w:val="4522139E"/>
    <w:rsid w:val="452875D2"/>
    <w:rsid w:val="464C31AD"/>
    <w:rsid w:val="46626127"/>
    <w:rsid w:val="467262B1"/>
    <w:rsid w:val="46A37C44"/>
    <w:rsid w:val="47696E1D"/>
    <w:rsid w:val="47A92609"/>
    <w:rsid w:val="47C70793"/>
    <w:rsid w:val="47DB43F4"/>
    <w:rsid w:val="47FE1783"/>
    <w:rsid w:val="480711E4"/>
    <w:rsid w:val="48B612A5"/>
    <w:rsid w:val="48BD2E49"/>
    <w:rsid w:val="48CD066E"/>
    <w:rsid w:val="48CF7B79"/>
    <w:rsid w:val="49F658E5"/>
    <w:rsid w:val="4A2248E6"/>
    <w:rsid w:val="4A484286"/>
    <w:rsid w:val="4B024F22"/>
    <w:rsid w:val="4B366885"/>
    <w:rsid w:val="4B77210D"/>
    <w:rsid w:val="4B8D4F2B"/>
    <w:rsid w:val="4B8E57D7"/>
    <w:rsid w:val="4BED1F73"/>
    <w:rsid w:val="4CA0730D"/>
    <w:rsid w:val="4D3E3930"/>
    <w:rsid w:val="4DF16430"/>
    <w:rsid w:val="4DFE73F6"/>
    <w:rsid w:val="4E68171F"/>
    <w:rsid w:val="4E7C70E6"/>
    <w:rsid w:val="4F390297"/>
    <w:rsid w:val="4FB861E8"/>
    <w:rsid w:val="501D73AD"/>
    <w:rsid w:val="501D7ABD"/>
    <w:rsid w:val="503F30EF"/>
    <w:rsid w:val="50425922"/>
    <w:rsid w:val="50661FAA"/>
    <w:rsid w:val="507E2989"/>
    <w:rsid w:val="509D3A67"/>
    <w:rsid w:val="51017C9B"/>
    <w:rsid w:val="5133701E"/>
    <w:rsid w:val="519C5337"/>
    <w:rsid w:val="51AA5E97"/>
    <w:rsid w:val="51B84BAE"/>
    <w:rsid w:val="522F4932"/>
    <w:rsid w:val="52726357"/>
    <w:rsid w:val="5303449B"/>
    <w:rsid w:val="53410090"/>
    <w:rsid w:val="538B35F7"/>
    <w:rsid w:val="5399151C"/>
    <w:rsid w:val="54AA716E"/>
    <w:rsid w:val="54F213DC"/>
    <w:rsid w:val="56A22B0A"/>
    <w:rsid w:val="56B611B2"/>
    <w:rsid w:val="57143A7A"/>
    <w:rsid w:val="5803796F"/>
    <w:rsid w:val="58150FCB"/>
    <w:rsid w:val="595D7906"/>
    <w:rsid w:val="5B003A90"/>
    <w:rsid w:val="5B0A5366"/>
    <w:rsid w:val="5B5A0972"/>
    <w:rsid w:val="5B5A6D27"/>
    <w:rsid w:val="5B843463"/>
    <w:rsid w:val="5C0329AA"/>
    <w:rsid w:val="5C746EEF"/>
    <w:rsid w:val="5C78114E"/>
    <w:rsid w:val="5CCE384F"/>
    <w:rsid w:val="5DAF5C40"/>
    <w:rsid w:val="5E0E1EBC"/>
    <w:rsid w:val="5E442D1D"/>
    <w:rsid w:val="5E4E4A9B"/>
    <w:rsid w:val="5EAE76E4"/>
    <w:rsid w:val="5F0425B7"/>
    <w:rsid w:val="5F7E1564"/>
    <w:rsid w:val="5FB378EF"/>
    <w:rsid w:val="5FBD2A6D"/>
    <w:rsid w:val="5FC62F05"/>
    <w:rsid w:val="6008651D"/>
    <w:rsid w:val="6028647F"/>
    <w:rsid w:val="6055488F"/>
    <w:rsid w:val="60EC63EE"/>
    <w:rsid w:val="6151015F"/>
    <w:rsid w:val="62115D19"/>
    <w:rsid w:val="62911FC2"/>
    <w:rsid w:val="6302753A"/>
    <w:rsid w:val="64222133"/>
    <w:rsid w:val="658D50C3"/>
    <w:rsid w:val="65E35806"/>
    <w:rsid w:val="668B4A26"/>
    <w:rsid w:val="66BB2160"/>
    <w:rsid w:val="66FB398F"/>
    <w:rsid w:val="670900DA"/>
    <w:rsid w:val="672D377A"/>
    <w:rsid w:val="676E7F38"/>
    <w:rsid w:val="67E81757"/>
    <w:rsid w:val="67F45322"/>
    <w:rsid w:val="68CE0840"/>
    <w:rsid w:val="695A4C75"/>
    <w:rsid w:val="69DF07B4"/>
    <w:rsid w:val="6A4C5694"/>
    <w:rsid w:val="6AB00F4D"/>
    <w:rsid w:val="6AD06C43"/>
    <w:rsid w:val="6B30245B"/>
    <w:rsid w:val="6B4D5D68"/>
    <w:rsid w:val="6B574B6E"/>
    <w:rsid w:val="6B84272F"/>
    <w:rsid w:val="6BB46CFA"/>
    <w:rsid w:val="6C445AE2"/>
    <w:rsid w:val="6C881C3D"/>
    <w:rsid w:val="6D0E187D"/>
    <w:rsid w:val="6D284286"/>
    <w:rsid w:val="6E044707"/>
    <w:rsid w:val="6EC92B56"/>
    <w:rsid w:val="6EC95616"/>
    <w:rsid w:val="705A3A80"/>
    <w:rsid w:val="705E193B"/>
    <w:rsid w:val="70A46C51"/>
    <w:rsid w:val="70E419BB"/>
    <w:rsid w:val="714D0C48"/>
    <w:rsid w:val="7182418C"/>
    <w:rsid w:val="71952301"/>
    <w:rsid w:val="720C2A7F"/>
    <w:rsid w:val="728D45CA"/>
    <w:rsid w:val="72925B8F"/>
    <w:rsid w:val="73952A09"/>
    <w:rsid w:val="742121D2"/>
    <w:rsid w:val="751E050A"/>
    <w:rsid w:val="75373851"/>
    <w:rsid w:val="76CB4F5C"/>
    <w:rsid w:val="770C1437"/>
    <w:rsid w:val="770E1899"/>
    <w:rsid w:val="77471D6C"/>
    <w:rsid w:val="77535D45"/>
    <w:rsid w:val="77E70B63"/>
    <w:rsid w:val="77F12161"/>
    <w:rsid w:val="783F64FE"/>
    <w:rsid w:val="78AD261A"/>
    <w:rsid w:val="78C03845"/>
    <w:rsid w:val="7A804068"/>
    <w:rsid w:val="7A9E5049"/>
    <w:rsid w:val="7ABC7C9A"/>
    <w:rsid w:val="7B6F6951"/>
    <w:rsid w:val="7B8F7909"/>
    <w:rsid w:val="7B9838F8"/>
    <w:rsid w:val="7C204551"/>
    <w:rsid w:val="7C635467"/>
    <w:rsid w:val="7CA66E2C"/>
    <w:rsid w:val="7CDC3203"/>
    <w:rsid w:val="7CEC4802"/>
    <w:rsid w:val="7E5D7401"/>
    <w:rsid w:val="7E7D1C8D"/>
    <w:rsid w:val="7ED01100"/>
    <w:rsid w:val="7F5FAC16"/>
    <w:rsid w:val="7F6917B1"/>
    <w:rsid w:val="7F696877"/>
    <w:rsid w:val="7F850134"/>
    <w:rsid w:val="7FF7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15"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51"/>
    <w:qFormat/>
    <w:uiPriority w:val="99"/>
    <w:pPr>
      <w:keepNext/>
      <w:keepLines/>
      <w:widowControl w:val="0"/>
      <w:numPr>
        <w:ilvl w:val="0"/>
        <w:numId w:val="1"/>
      </w:numPr>
      <w:adjustRightInd w:val="0"/>
      <w:spacing w:before="340" w:after="330" w:line="578" w:lineRule="atLeast"/>
      <w:jc w:val="both"/>
      <w:textAlignment w:val="baseline"/>
      <w:outlineLvl w:val="0"/>
    </w:pPr>
    <w:rPr>
      <w:rFonts w:ascii="Times New Roman" w:hAnsi="Times New Roman" w:cs="Times New Roman"/>
      <w:b/>
      <w:kern w:val="44"/>
      <w:sz w:val="44"/>
      <w:szCs w:val="20"/>
    </w:rPr>
  </w:style>
  <w:style w:type="paragraph" w:styleId="5">
    <w:name w:val="heading 2"/>
    <w:basedOn w:val="1"/>
    <w:next w:val="1"/>
    <w:link w:val="52"/>
    <w:qFormat/>
    <w:uiPriority w:val="99"/>
    <w:pPr>
      <w:keepNext/>
      <w:keepLines/>
      <w:widowControl w:val="0"/>
      <w:adjustRightInd w:val="0"/>
      <w:spacing w:before="260" w:after="260" w:line="416" w:lineRule="atLeast"/>
      <w:jc w:val="both"/>
      <w:textAlignment w:val="baseline"/>
      <w:outlineLvl w:val="1"/>
    </w:pPr>
    <w:rPr>
      <w:rFonts w:ascii="Arial" w:hAnsi="Arial" w:cs="Times New Roman"/>
      <w:b/>
      <w:sz w:val="30"/>
      <w:szCs w:val="20"/>
    </w:rPr>
  </w:style>
  <w:style w:type="paragraph" w:styleId="6">
    <w:name w:val="heading 3"/>
    <w:basedOn w:val="1"/>
    <w:next w:val="1"/>
    <w:link w:val="53"/>
    <w:qFormat/>
    <w:uiPriority w:val="99"/>
    <w:pPr>
      <w:keepNext/>
      <w:keepLines/>
      <w:widowControl w:val="0"/>
      <w:adjustRightInd w:val="0"/>
      <w:spacing w:before="260" w:after="260" w:line="416" w:lineRule="atLeast"/>
      <w:jc w:val="both"/>
      <w:textAlignment w:val="baseline"/>
      <w:outlineLvl w:val="2"/>
    </w:pPr>
    <w:rPr>
      <w:rFonts w:ascii="Times New Roman" w:hAnsi="Times New Roman" w:cs="Times New Roman"/>
      <w:b/>
      <w:szCs w:val="20"/>
    </w:rPr>
  </w:style>
  <w:style w:type="paragraph" w:styleId="7">
    <w:name w:val="heading 4"/>
    <w:basedOn w:val="1"/>
    <w:next w:val="1"/>
    <w:link w:val="54"/>
    <w:qFormat/>
    <w:uiPriority w:val="99"/>
    <w:pPr>
      <w:keepNext/>
      <w:keepLines/>
      <w:widowControl w:val="0"/>
      <w:numPr>
        <w:ilvl w:val="3"/>
        <w:numId w:val="1"/>
      </w:numPr>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8">
    <w:name w:val="heading 5"/>
    <w:basedOn w:val="1"/>
    <w:next w:val="1"/>
    <w:link w:val="55"/>
    <w:qFormat/>
    <w:uiPriority w:val="9"/>
    <w:pPr>
      <w:keepNext/>
      <w:keepLines/>
      <w:widowControl w:val="0"/>
      <w:numPr>
        <w:ilvl w:val="4"/>
        <w:numId w:val="1"/>
      </w:numPr>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9">
    <w:name w:val="heading 6"/>
    <w:basedOn w:val="1"/>
    <w:next w:val="1"/>
    <w:link w:val="56"/>
    <w:qFormat/>
    <w:uiPriority w:val="15"/>
    <w:pPr>
      <w:keepNext/>
      <w:keepLines/>
      <w:widowControl w:val="0"/>
      <w:numPr>
        <w:ilvl w:val="5"/>
        <w:numId w:val="1"/>
      </w:numPr>
      <w:adjustRightInd w:val="0"/>
      <w:spacing w:before="240" w:after="64" w:line="320" w:lineRule="atLeast"/>
      <w:jc w:val="both"/>
      <w:textAlignment w:val="baseline"/>
      <w:outlineLvl w:val="5"/>
    </w:pPr>
    <w:rPr>
      <w:rFonts w:ascii="Arial" w:hAnsi="Arial" w:eastAsia="黑体" w:cs="Times New Roman"/>
      <w:b/>
      <w:szCs w:val="20"/>
    </w:rPr>
  </w:style>
  <w:style w:type="paragraph" w:styleId="10">
    <w:name w:val="heading 7"/>
    <w:basedOn w:val="1"/>
    <w:next w:val="1"/>
    <w:link w:val="57"/>
    <w:qFormat/>
    <w:uiPriority w:val="0"/>
    <w:pPr>
      <w:keepNext/>
      <w:keepLines/>
      <w:widowControl w:val="0"/>
      <w:numPr>
        <w:ilvl w:val="6"/>
        <w:numId w:val="1"/>
      </w:numPr>
      <w:adjustRightInd w:val="0"/>
      <w:spacing w:before="240" w:after="64" w:line="320" w:lineRule="atLeast"/>
      <w:jc w:val="both"/>
      <w:textAlignment w:val="baseline"/>
      <w:outlineLvl w:val="6"/>
    </w:pPr>
    <w:rPr>
      <w:rFonts w:ascii="Times New Roman" w:hAnsi="Times New Roman" w:cs="Times New Roman"/>
      <w:b/>
      <w:szCs w:val="20"/>
    </w:rPr>
  </w:style>
  <w:style w:type="paragraph" w:styleId="11">
    <w:name w:val="heading 8"/>
    <w:basedOn w:val="1"/>
    <w:next w:val="1"/>
    <w:link w:val="58"/>
    <w:qFormat/>
    <w:uiPriority w:val="0"/>
    <w:pPr>
      <w:keepNext/>
      <w:keepLines/>
      <w:widowControl w:val="0"/>
      <w:numPr>
        <w:ilvl w:val="7"/>
        <w:numId w:val="1"/>
      </w:numPr>
      <w:adjustRightInd w:val="0"/>
      <w:spacing w:before="240" w:after="64" w:line="320" w:lineRule="atLeast"/>
      <w:jc w:val="both"/>
      <w:textAlignment w:val="baseline"/>
      <w:outlineLvl w:val="7"/>
    </w:pPr>
    <w:rPr>
      <w:rFonts w:ascii="Arial" w:hAnsi="Arial" w:eastAsia="黑体" w:cs="Times New Roman"/>
      <w:szCs w:val="20"/>
    </w:rPr>
  </w:style>
  <w:style w:type="paragraph" w:styleId="12">
    <w:name w:val="heading 9"/>
    <w:basedOn w:val="1"/>
    <w:next w:val="1"/>
    <w:link w:val="59"/>
    <w:qFormat/>
    <w:uiPriority w:val="0"/>
    <w:pPr>
      <w:keepNext/>
      <w:keepLines/>
      <w:widowControl w:val="0"/>
      <w:numPr>
        <w:ilvl w:val="8"/>
        <w:numId w:val="1"/>
      </w:numPr>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3">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note text"/>
    <w:basedOn w:val="1"/>
    <w:link w:val="150"/>
    <w:qFormat/>
    <w:uiPriority w:val="0"/>
    <w:pPr>
      <w:snapToGrid w:val="0"/>
    </w:pPr>
    <w:rPr>
      <w:sz w:val="18"/>
    </w:rPr>
  </w:style>
  <w:style w:type="paragraph" w:styleId="13">
    <w:name w:val="List 3"/>
    <w:basedOn w:val="1"/>
    <w:qFormat/>
    <w:uiPriority w:val="99"/>
    <w:pPr>
      <w:widowControl w:val="0"/>
      <w:ind w:left="1260" w:hanging="420"/>
      <w:jc w:val="both"/>
    </w:pPr>
    <w:rPr>
      <w:rFonts w:ascii="Times New Roman" w:hAnsi="Times New Roman" w:cs="Times New Roman"/>
      <w:kern w:val="2"/>
      <w:sz w:val="21"/>
      <w:szCs w:val="20"/>
    </w:rPr>
  </w:style>
  <w:style w:type="paragraph" w:styleId="14">
    <w:name w:val="List Number 2"/>
    <w:basedOn w:val="1"/>
    <w:qFormat/>
    <w:uiPriority w:val="99"/>
    <w:pPr>
      <w:widowControl w:val="0"/>
      <w:numPr>
        <w:ilvl w:val="0"/>
        <w:numId w:val="2"/>
      </w:numPr>
      <w:contextualSpacing/>
      <w:jc w:val="both"/>
    </w:pPr>
    <w:rPr>
      <w:rFonts w:ascii="Calibri" w:hAnsi="Calibri" w:cs="Times New Roman"/>
      <w:kern w:val="2"/>
      <w:sz w:val="21"/>
      <w:szCs w:val="21"/>
    </w:rPr>
  </w:style>
  <w:style w:type="paragraph" w:styleId="15">
    <w:name w:val="List Number"/>
    <w:basedOn w:val="1"/>
    <w:qFormat/>
    <w:uiPriority w:val="99"/>
    <w:pPr>
      <w:widowControl w:val="0"/>
      <w:numPr>
        <w:ilvl w:val="0"/>
        <w:numId w:val="3"/>
      </w:numPr>
      <w:contextualSpacing/>
      <w:jc w:val="both"/>
    </w:pPr>
    <w:rPr>
      <w:rFonts w:ascii="Calibri" w:hAnsi="Calibri" w:cs="Times New Roman"/>
      <w:kern w:val="2"/>
      <w:sz w:val="21"/>
      <w:szCs w:val="21"/>
    </w:rPr>
  </w:style>
  <w:style w:type="paragraph" w:styleId="16">
    <w:name w:val="Normal Indent"/>
    <w:basedOn w:val="1"/>
    <w:link w:val="81"/>
    <w:qFormat/>
    <w:uiPriority w:val="0"/>
    <w:pPr>
      <w:widowControl w:val="0"/>
      <w:autoSpaceDE w:val="0"/>
      <w:autoSpaceDN w:val="0"/>
      <w:adjustRightInd w:val="0"/>
      <w:spacing w:line="360" w:lineRule="atLeast"/>
      <w:ind w:firstLine="420"/>
      <w:jc w:val="both"/>
      <w:textAlignment w:val="baseline"/>
    </w:pPr>
    <w:rPr>
      <w:rFonts w:hAnsiTheme="minorHAnsi" w:eastAsiaTheme="minorEastAsia" w:cstheme="minorBidi"/>
      <w:kern w:val="2"/>
      <w:szCs w:val="22"/>
    </w:rPr>
  </w:style>
  <w:style w:type="paragraph" w:styleId="17">
    <w:name w:val="caption"/>
    <w:basedOn w:val="1"/>
    <w:next w:val="1"/>
    <w:link w:val="64"/>
    <w:qFormat/>
    <w:uiPriority w:val="99"/>
    <w:pPr>
      <w:widowControl w:val="0"/>
      <w:jc w:val="both"/>
    </w:pPr>
    <w:rPr>
      <w:rFonts w:asciiTheme="minorHAnsi" w:hAnsiTheme="minorHAnsi" w:eastAsiaTheme="minorEastAsia" w:cstheme="minorBidi"/>
      <w:kern w:val="2"/>
      <w:sz w:val="32"/>
    </w:rPr>
  </w:style>
  <w:style w:type="paragraph" w:styleId="18">
    <w:name w:val="Document Map"/>
    <w:basedOn w:val="1"/>
    <w:link w:val="89"/>
    <w:semiHidden/>
    <w:qFormat/>
    <w:uiPriority w:val="99"/>
    <w:pPr>
      <w:widowControl w:val="0"/>
      <w:shd w:val="clear" w:color="auto" w:fill="000080"/>
      <w:jc w:val="both"/>
    </w:pPr>
    <w:rPr>
      <w:rFonts w:asciiTheme="minorHAnsi" w:hAnsiTheme="minorHAnsi" w:eastAsiaTheme="minorEastAsia" w:cstheme="minorBidi"/>
      <w:kern w:val="2"/>
      <w:sz w:val="21"/>
    </w:rPr>
  </w:style>
  <w:style w:type="paragraph" w:styleId="19">
    <w:name w:val="annotation text"/>
    <w:basedOn w:val="1"/>
    <w:link w:val="106"/>
    <w:unhideWhenUsed/>
    <w:qFormat/>
    <w:uiPriority w:val="0"/>
    <w:pPr>
      <w:widowControl w:val="0"/>
    </w:pPr>
    <w:rPr>
      <w:rFonts w:ascii="Times New Roman" w:hAnsi="Times New Roman" w:cs="Times New Roman"/>
      <w:kern w:val="2"/>
      <w:sz w:val="21"/>
    </w:rPr>
  </w:style>
  <w:style w:type="paragraph" w:styleId="20">
    <w:name w:val="Body Text 3"/>
    <w:basedOn w:val="1"/>
    <w:link w:val="83"/>
    <w:qFormat/>
    <w:uiPriority w:val="99"/>
    <w:pPr>
      <w:widowControl w:val="0"/>
      <w:snapToGrid w:val="0"/>
      <w:spacing w:line="300" w:lineRule="auto"/>
      <w:jc w:val="center"/>
    </w:pPr>
    <w:rPr>
      <w:rFonts w:ascii="Calibri" w:hAnsi="Calibri" w:eastAsiaTheme="minorEastAsia" w:cstheme="minorBidi"/>
      <w:kern w:val="2"/>
      <w:sz w:val="16"/>
      <w:szCs w:val="22"/>
    </w:rPr>
  </w:style>
  <w:style w:type="paragraph" w:styleId="21">
    <w:name w:val="Body Text"/>
    <w:basedOn w:val="1"/>
    <w:link w:val="70"/>
    <w:qFormat/>
    <w:uiPriority w:val="99"/>
    <w:pPr>
      <w:widowControl w:val="0"/>
      <w:spacing w:line="360" w:lineRule="auto"/>
      <w:jc w:val="both"/>
    </w:pPr>
    <w:rPr>
      <w:rFonts w:hAnsiTheme="minorHAnsi" w:eastAsiaTheme="minorEastAsia" w:cstheme="minorBidi"/>
      <w:kern w:val="2"/>
    </w:rPr>
  </w:style>
  <w:style w:type="paragraph" w:styleId="22">
    <w:name w:val="Body Text Indent"/>
    <w:basedOn w:val="1"/>
    <w:link w:val="68"/>
    <w:qFormat/>
    <w:uiPriority w:val="0"/>
    <w:pPr>
      <w:widowControl w:val="0"/>
      <w:spacing w:line="360" w:lineRule="auto"/>
      <w:ind w:left="718" w:leftChars="342"/>
      <w:jc w:val="both"/>
    </w:pPr>
    <w:rPr>
      <w:rFonts w:asciiTheme="minorHAnsi" w:hAnsiTheme="minorHAnsi" w:eastAsiaTheme="minorEastAsia" w:cstheme="minorBidi"/>
      <w:kern w:val="2"/>
    </w:rPr>
  </w:style>
  <w:style w:type="paragraph" w:styleId="23">
    <w:name w:val="List Number 3"/>
    <w:basedOn w:val="1"/>
    <w:qFormat/>
    <w:uiPriority w:val="99"/>
    <w:pPr>
      <w:widowControl w:val="0"/>
      <w:numPr>
        <w:ilvl w:val="0"/>
        <w:numId w:val="4"/>
      </w:numPr>
      <w:contextualSpacing/>
      <w:jc w:val="both"/>
    </w:pPr>
    <w:rPr>
      <w:rFonts w:ascii="Calibri" w:hAnsi="Calibri" w:cs="Times New Roman"/>
      <w:kern w:val="2"/>
      <w:sz w:val="21"/>
      <w:szCs w:val="21"/>
    </w:rPr>
  </w:style>
  <w:style w:type="paragraph" w:styleId="24">
    <w:name w:val="Block Text"/>
    <w:basedOn w:val="1"/>
    <w:qFormat/>
    <w:uiPriority w:val="0"/>
    <w:pPr>
      <w:widowControl w:val="0"/>
      <w:spacing w:line="360" w:lineRule="auto"/>
      <w:ind w:left="1262" w:leftChars="600" w:right="187" w:hanging="2"/>
      <w:jc w:val="both"/>
    </w:pPr>
    <w:rPr>
      <w:rFonts w:cs="Times New Roman"/>
      <w:color w:val="FF0000"/>
      <w:kern w:val="2"/>
    </w:rPr>
  </w:style>
  <w:style w:type="paragraph" w:styleId="25">
    <w:name w:val="Plain Text"/>
    <w:basedOn w:val="1"/>
    <w:link w:val="62"/>
    <w:qFormat/>
    <w:uiPriority w:val="0"/>
    <w:pPr>
      <w:widowControl w:val="0"/>
      <w:jc w:val="both"/>
    </w:pPr>
    <w:rPr>
      <w:rFonts w:hAnsi="Courier New" w:eastAsiaTheme="minorEastAsia" w:cstheme="minorBidi"/>
      <w:kern w:val="2"/>
      <w:sz w:val="21"/>
      <w:szCs w:val="21"/>
    </w:rPr>
  </w:style>
  <w:style w:type="paragraph" w:styleId="26">
    <w:name w:val="toc 8"/>
    <w:basedOn w:val="1"/>
    <w:next w:val="1"/>
    <w:semiHidden/>
    <w:unhideWhenUsed/>
    <w:qFormat/>
    <w:uiPriority w:val="39"/>
    <w:pPr>
      <w:ind w:left="2940" w:leftChars="1400"/>
    </w:pPr>
  </w:style>
  <w:style w:type="paragraph" w:styleId="27">
    <w:name w:val="Date"/>
    <w:basedOn w:val="1"/>
    <w:next w:val="1"/>
    <w:link w:val="80"/>
    <w:qFormat/>
    <w:uiPriority w:val="99"/>
    <w:pPr>
      <w:widowControl w:val="0"/>
      <w:ind w:left="100" w:leftChars="2500"/>
      <w:jc w:val="both"/>
    </w:pPr>
    <w:rPr>
      <w:rFonts w:eastAsiaTheme="minorEastAsia" w:cstheme="minorBidi"/>
      <w:kern w:val="2"/>
    </w:rPr>
  </w:style>
  <w:style w:type="paragraph" w:styleId="28">
    <w:name w:val="Body Text Indent 2"/>
    <w:basedOn w:val="1"/>
    <w:link w:val="103"/>
    <w:qFormat/>
    <w:uiPriority w:val="0"/>
    <w:pPr>
      <w:widowControl w:val="0"/>
      <w:spacing w:line="360" w:lineRule="auto"/>
      <w:ind w:left="720"/>
      <w:jc w:val="both"/>
    </w:pPr>
    <w:rPr>
      <w:rFonts w:hAnsi="Times New Roman" w:cs="Times New Roman"/>
      <w:kern w:val="2"/>
    </w:rPr>
  </w:style>
  <w:style w:type="paragraph" w:styleId="29">
    <w:name w:val="Balloon Text"/>
    <w:basedOn w:val="1"/>
    <w:link w:val="88"/>
    <w:qFormat/>
    <w:uiPriority w:val="99"/>
    <w:pPr>
      <w:widowControl w:val="0"/>
      <w:jc w:val="both"/>
    </w:pPr>
    <w:rPr>
      <w:rFonts w:asciiTheme="minorHAnsi" w:hAnsiTheme="minorHAnsi" w:eastAsiaTheme="minorEastAsia" w:cstheme="minorBidi"/>
      <w:kern w:val="2"/>
      <w:sz w:val="18"/>
      <w:szCs w:val="18"/>
    </w:rPr>
  </w:style>
  <w:style w:type="paragraph" w:styleId="30">
    <w:name w:val="footer"/>
    <w:basedOn w:val="1"/>
    <w:link w:val="50"/>
    <w:unhideWhenUsed/>
    <w:qFormat/>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31">
    <w:name w:val="header"/>
    <w:basedOn w:val="1"/>
    <w:link w:val="49"/>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2">
    <w:name w:val="toc 1"/>
    <w:basedOn w:val="1"/>
    <w:next w:val="1"/>
    <w:unhideWhenUsed/>
    <w:qFormat/>
    <w:uiPriority w:val="39"/>
    <w:pPr>
      <w:widowControl w:val="0"/>
      <w:jc w:val="both"/>
    </w:pPr>
    <w:rPr>
      <w:rFonts w:ascii="Times New Roman" w:hAnsi="Times New Roman" w:cs="Times New Roman"/>
      <w:kern w:val="2"/>
      <w:sz w:val="21"/>
    </w:rPr>
  </w:style>
  <w:style w:type="paragraph" w:styleId="33">
    <w:name w:val="Subtitle"/>
    <w:basedOn w:val="1"/>
    <w:next w:val="1"/>
    <w:link w:val="96"/>
    <w:qFormat/>
    <w:uiPriority w:val="11"/>
    <w:pPr>
      <w:widowControl w:val="0"/>
      <w:spacing w:before="240" w:after="60" w:line="312" w:lineRule="auto"/>
      <w:ind w:firstLine="200" w:firstLineChars="200"/>
      <w:jc w:val="center"/>
      <w:outlineLvl w:val="1"/>
    </w:pPr>
    <w:rPr>
      <w:rFonts w:ascii="Cambria" w:hAnsi="Cambria" w:eastAsiaTheme="minorEastAsia" w:cstheme="minorBidi"/>
      <w:b/>
      <w:bCs/>
      <w:kern w:val="28"/>
      <w:sz w:val="32"/>
      <w:szCs w:val="32"/>
    </w:rPr>
  </w:style>
  <w:style w:type="paragraph" w:styleId="34">
    <w:name w:val="Body Text Indent 3"/>
    <w:basedOn w:val="1"/>
    <w:link w:val="92"/>
    <w:qFormat/>
    <w:uiPriority w:val="0"/>
    <w:pPr>
      <w:widowControl w:val="0"/>
      <w:spacing w:line="360" w:lineRule="auto"/>
      <w:ind w:left="1081" w:leftChars="514" w:hanging="2"/>
      <w:jc w:val="both"/>
    </w:pPr>
    <w:rPr>
      <w:rFonts w:hAnsiTheme="minorHAnsi" w:eastAsiaTheme="minorEastAsia" w:cstheme="minorBidi"/>
      <w:kern w:val="2"/>
    </w:rPr>
  </w:style>
  <w:style w:type="paragraph" w:styleId="35">
    <w:name w:val="Normal (Web)"/>
    <w:basedOn w:val="1"/>
    <w:qFormat/>
    <w:uiPriority w:val="0"/>
    <w:pPr>
      <w:spacing w:before="100" w:beforeAutospacing="1" w:after="100" w:afterAutospacing="1"/>
    </w:pPr>
    <w:rPr>
      <w:rFonts w:cs="Times New Roman"/>
    </w:rPr>
  </w:style>
  <w:style w:type="paragraph" w:styleId="36">
    <w:name w:val="Title"/>
    <w:basedOn w:val="1"/>
    <w:next w:val="1"/>
    <w:link w:val="72"/>
    <w:qFormat/>
    <w:uiPriority w:val="0"/>
    <w:pPr>
      <w:widowControl w:val="0"/>
      <w:spacing w:before="240" w:after="60"/>
      <w:jc w:val="center"/>
      <w:outlineLvl w:val="0"/>
    </w:pPr>
    <w:rPr>
      <w:rFonts w:ascii="Cambria" w:hAnsi="Cambria" w:cs="Times New Roman" w:eastAsiaTheme="minorEastAsia"/>
      <w:b/>
      <w:bCs/>
      <w:kern w:val="2"/>
      <w:sz w:val="32"/>
      <w:szCs w:val="32"/>
    </w:rPr>
  </w:style>
  <w:style w:type="paragraph" w:styleId="37">
    <w:name w:val="annotation subject"/>
    <w:basedOn w:val="19"/>
    <w:next w:val="19"/>
    <w:link w:val="77"/>
    <w:qFormat/>
    <w:uiPriority w:val="99"/>
    <w:rPr>
      <w:rFonts w:asciiTheme="minorHAnsi" w:hAnsiTheme="minorHAnsi" w:eastAsiaTheme="minorEastAsia" w:cstheme="minorBidi"/>
      <w:b/>
      <w:bCs/>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Light List Accent 3"/>
    <w:basedOn w:val="3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41">
    <w:name w:val="Colorful List Accent 1"/>
    <w:basedOn w:val="38"/>
    <w:qFormat/>
    <w:uiPriority w:val="34"/>
    <w:rPr>
      <w:color w:val="000000"/>
    </w:rPr>
    <w:tblPr>
      <w:tblStyleRowBandSize w:val="1"/>
      <w:tblStyleColBandSize w:val="1"/>
    </w:tblPr>
    <w:tcPr>
      <w:shd w:val="clear" w:color="auto" w:fill="EEF5FB"/>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42">
    <w:name w:val="Colorful List Accent 5"/>
    <w:basedOn w:val="38"/>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customStyle="1" w:styleId="49">
    <w:name w:val="页眉 字符"/>
    <w:basedOn w:val="43"/>
    <w:link w:val="31"/>
    <w:qFormat/>
    <w:uiPriority w:val="99"/>
    <w:rPr>
      <w:sz w:val="18"/>
      <w:szCs w:val="18"/>
    </w:rPr>
  </w:style>
  <w:style w:type="character" w:customStyle="1" w:styleId="50">
    <w:name w:val="页脚 字符"/>
    <w:basedOn w:val="43"/>
    <w:link w:val="30"/>
    <w:qFormat/>
    <w:uiPriority w:val="99"/>
    <w:rPr>
      <w:sz w:val="18"/>
      <w:szCs w:val="18"/>
    </w:rPr>
  </w:style>
  <w:style w:type="character" w:customStyle="1" w:styleId="51">
    <w:name w:val="标题 1 字符"/>
    <w:basedOn w:val="43"/>
    <w:link w:val="4"/>
    <w:qFormat/>
    <w:uiPriority w:val="99"/>
    <w:rPr>
      <w:rFonts w:ascii="Times New Roman" w:hAnsi="Times New Roman"/>
      <w:b/>
      <w:kern w:val="44"/>
      <w:sz w:val="44"/>
    </w:rPr>
  </w:style>
  <w:style w:type="character" w:customStyle="1" w:styleId="52">
    <w:name w:val="标题 2 字符"/>
    <w:basedOn w:val="43"/>
    <w:link w:val="5"/>
    <w:qFormat/>
    <w:uiPriority w:val="99"/>
    <w:rPr>
      <w:rFonts w:ascii="Arial" w:hAnsi="Arial" w:eastAsia="宋体" w:cs="Times New Roman"/>
      <w:b/>
      <w:kern w:val="0"/>
      <w:sz w:val="30"/>
      <w:szCs w:val="20"/>
    </w:rPr>
  </w:style>
  <w:style w:type="character" w:customStyle="1" w:styleId="53">
    <w:name w:val="标题 3 字符"/>
    <w:basedOn w:val="43"/>
    <w:link w:val="6"/>
    <w:qFormat/>
    <w:uiPriority w:val="99"/>
    <w:rPr>
      <w:rFonts w:ascii="Times New Roman" w:hAnsi="Times New Roman" w:eastAsia="宋体" w:cs="Times New Roman"/>
      <w:b/>
      <w:kern w:val="0"/>
      <w:sz w:val="24"/>
      <w:szCs w:val="20"/>
    </w:rPr>
  </w:style>
  <w:style w:type="character" w:customStyle="1" w:styleId="54">
    <w:name w:val="标题 4 字符"/>
    <w:basedOn w:val="43"/>
    <w:link w:val="7"/>
    <w:qFormat/>
    <w:uiPriority w:val="99"/>
    <w:rPr>
      <w:rFonts w:ascii="Arial" w:hAnsi="Arial" w:eastAsia="黑体"/>
      <w:b/>
      <w:sz w:val="28"/>
    </w:rPr>
  </w:style>
  <w:style w:type="character" w:customStyle="1" w:styleId="55">
    <w:name w:val="标题 5 字符"/>
    <w:basedOn w:val="43"/>
    <w:link w:val="8"/>
    <w:qFormat/>
    <w:uiPriority w:val="9"/>
    <w:rPr>
      <w:rFonts w:ascii="Times New Roman" w:hAnsi="Times New Roman"/>
      <w:b/>
      <w:sz w:val="28"/>
    </w:rPr>
  </w:style>
  <w:style w:type="character" w:customStyle="1" w:styleId="56">
    <w:name w:val="标题 6 字符"/>
    <w:basedOn w:val="43"/>
    <w:link w:val="9"/>
    <w:qFormat/>
    <w:uiPriority w:val="15"/>
    <w:rPr>
      <w:rFonts w:ascii="Arial" w:hAnsi="Arial" w:eastAsia="黑体"/>
      <w:b/>
      <w:sz w:val="24"/>
    </w:rPr>
  </w:style>
  <w:style w:type="character" w:customStyle="1" w:styleId="57">
    <w:name w:val="标题 7 字符"/>
    <w:basedOn w:val="43"/>
    <w:link w:val="10"/>
    <w:qFormat/>
    <w:uiPriority w:val="0"/>
    <w:rPr>
      <w:rFonts w:ascii="Times New Roman" w:hAnsi="Times New Roman"/>
      <w:b/>
      <w:sz w:val="24"/>
    </w:rPr>
  </w:style>
  <w:style w:type="character" w:customStyle="1" w:styleId="58">
    <w:name w:val="标题 8 字符"/>
    <w:basedOn w:val="43"/>
    <w:link w:val="11"/>
    <w:qFormat/>
    <w:uiPriority w:val="0"/>
    <w:rPr>
      <w:rFonts w:ascii="Arial" w:hAnsi="Arial" w:eastAsia="黑体"/>
      <w:sz w:val="24"/>
    </w:rPr>
  </w:style>
  <w:style w:type="character" w:customStyle="1" w:styleId="59">
    <w:name w:val="标题 9 字符"/>
    <w:basedOn w:val="43"/>
    <w:link w:val="12"/>
    <w:qFormat/>
    <w:uiPriority w:val="0"/>
    <w:rPr>
      <w:rFonts w:ascii="Arial" w:hAnsi="Arial" w:eastAsia="黑体"/>
      <w:sz w:val="21"/>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62">
    <w:name w:val="纯文本 字符"/>
    <w:link w:val="25"/>
    <w:qFormat/>
    <w:locked/>
    <w:uiPriority w:val="0"/>
    <w:rPr>
      <w:rFonts w:ascii="宋体" w:hAnsi="Courier New"/>
      <w:szCs w:val="21"/>
    </w:rPr>
  </w:style>
  <w:style w:type="character" w:customStyle="1" w:styleId="63">
    <w:name w:val="Comment Subject Char"/>
    <w:qFormat/>
    <w:locked/>
    <w:uiPriority w:val="99"/>
    <w:rPr>
      <w:rFonts w:ascii="Times New Roman" w:hAnsi="Times New Roman" w:eastAsia="宋体"/>
      <w:b/>
      <w:sz w:val="24"/>
    </w:rPr>
  </w:style>
  <w:style w:type="character" w:customStyle="1" w:styleId="64">
    <w:name w:val="题注 字符"/>
    <w:link w:val="17"/>
    <w:qFormat/>
    <w:uiPriority w:val="99"/>
    <w:rPr>
      <w:sz w:val="32"/>
      <w:szCs w:val="24"/>
    </w:rPr>
  </w:style>
  <w:style w:type="character" w:customStyle="1" w:styleId="65">
    <w:name w:val="Body Text Indent 3 Char"/>
    <w:qFormat/>
    <w:locked/>
    <w:uiPriority w:val="99"/>
    <w:rPr>
      <w:rFonts w:ascii="Times New Roman" w:hAnsi="Times New Roman"/>
    </w:rPr>
  </w:style>
  <w:style w:type="character" w:customStyle="1" w:styleId="66">
    <w:name w:val="Footer Char"/>
    <w:qFormat/>
    <w:locked/>
    <w:uiPriority w:val="99"/>
    <w:rPr>
      <w:rFonts w:eastAsia="宋体" w:cs="Times New Roman"/>
      <w:sz w:val="18"/>
    </w:rPr>
  </w:style>
  <w:style w:type="character" w:customStyle="1" w:styleId="67">
    <w:name w:val="Document Map Char1"/>
    <w:semiHidden/>
    <w:qFormat/>
    <w:locked/>
    <w:uiPriority w:val="99"/>
    <w:rPr>
      <w:rFonts w:ascii="Times New Roman" w:hAnsi="Times New Roman" w:cs="Times New Roman"/>
      <w:sz w:val="2"/>
    </w:rPr>
  </w:style>
  <w:style w:type="character" w:customStyle="1" w:styleId="68">
    <w:name w:val="正文文本缩进 字符"/>
    <w:link w:val="22"/>
    <w:qFormat/>
    <w:uiPriority w:val="0"/>
    <w:rPr>
      <w:sz w:val="24"/>
      <w:szCs w:val="24"/>
    </w:rPr>
  </w:style>
  <w:style w:type="character" w:customStyle="1" w:styleId="69">
    <w:name w:val="Document Map Char"/>
    <w:semiHidden/>
    <w:qFormat/>
    <w:locked/>
    <w:uiPriority w:val="99"/>
    <w:rPr>
      <w:rFonts w:ascii="宋体"/>
      <w:sz w:val="18"/>
    </w:rPr>
  </w:style>
  <w:style w:type="character" w:customStyle="1" w:styleId="70">
    <w:name w:val="正文文本 字符"/>
    <w:link w:val="21"/>
    <w:qFormat/>
    <w:locked/>
    <w:uiPriority w:val="99"/>
    <w:rPr>
      <w:rFonts w:ascii="宋体"/>
      <w:sz w:val="24"/>
      <w:szCs w:val="24"/>
    </w:rPr>
  </w:style>
  <w:style w:type="character" w:customStyle="1" w:styleId="71">
    <w:name w:val="Plain Text Char"/>
    <w:qFormat/>
    <w:locked/>
    <w:uiPriority w:val="99"/>
    <w:rPr>
      <w:rFonts w:ascii="宋体" w:hAnsi="Courier New" w:eastAsia="宋体" w:cs="Times New Roman"/>
    </w:rPr>
  </w:style>
  <w:style w:type="character" w:customStyle="1" w:styleId="72">
    <w:name w:val="标题 字符"/>
    <w:link w:val="36"/>
    <w:qFormat/>
    <w:uiPriority w:val="0"/>
    <w:rPr>
      <w:rFonts w:ascii="Cambria" w:hAnsi="Cambria" w:cs="Times New Roman"/>
      <w:b/>
      <w:bCs/>
      <w:sz w:val="32"/>
      <w:szCs w:val="32"/>
    </w:rPr>
  </w:style>
  <w:style w:type="character" w:customStyle="1" w:styleId="73">
    <w:name w:val="Comment Subject Char1"/>
    <w:semiHidden/>
    <w:qFormat/>
    <w:locked/>
    <w:uiPriority w:val="99"/>
    <w:rPr>
      <w:rFonts w:ascii="Times New Roman" w:hAnsi="Times New Roman" w:eastAsia="宋体" w:cs="Times New Roman"/>
      <w:b/>
      <w:kern w:val="2"/>
      <w:sz w:val="24"/>
      <w:szCs w:val="24"/>
    </w:rPr>
  </w:style>
  <w:style w:type="character" w:customStyle="1" w:styleId="74">
    <w:name w:val="paragraph1 Char"/>
    <w:link w:val="75"/>
    <w:qFormat/>
    <w:locked/>
    <w:uiPriority w:val="99"/>
    <w:rPr>
      <w:rFonts w:ascii="Calibri" w:hAnsi="Calibri"/>
      <w:sz w:val="24"/>
    </w:rPr>
  </w:style>
  <w:style w:type="paragraph" w:customStyle="1" w:styleId="75">
    <w:name w:val="paragraph1"/>
    <w:basedOn w:val="1"/>
    <w:link w:val="74"/>
    <w:qFormat/>
    <w:uiPriority w:val="99"/>
    <w:pPr>
      <w:widowControl w:val="0"/>
      <w:spacing w:afterLines="30" w:line="360" w:lineRule="auto"/>
      <w:ind w:firstLine="480" w:firstLineChars="200"/>
      <w:jc w:val="both"/>
    </w:pPr>
    <w:rPr>
      <w:rFonts w:ascii="Calibri" w:hAnsi="Calibri" w:eastAsiaTheme="minorEastAsia" w:cstheme="minorBidi"/>
      <w:kern w:val="2"/>
      <w:szCs w:val="22"/>
    </w:rPr>
  </w:style>
  <w:style w:type="character" w:customStyle="1" w:styleId="76">
    <w:name w:val="批注文字 字符"/>
    <w:qFormat/>
    <w:uiPriority w:val="99"/>
    <w:rPr>
      <w:kern w:val="2"/>
      <w:sz w:val="21"/>
      <w:szCs w:val="24"/>
    </w:rPr>
  </w:style>
  <w:style w:type="character" w:customStyle="1" w:styleId="77">
    <w:name w:val="批注主题 字符"/>
    <w:link w:val="37"/>
    <w:qFormat/>
    <w:uiPriority w:val="99"/>
    <w:rPr>
      <w:b/>
      <w:bCs/>
      <w:szCs w:val="24"/>
    </w:rPr>
  </w:style>
  <w:style w:type="character" w:customStyle="1" w:styleId="78">
    <w:name w:val="Body Text Indent 3 Char1"/>
    <w:semiHidden/>
    <w:qFormat/>
    <w:locked/>
    <w:uiPriority w:val="99"/>
    <w:rPr>
      <w:rFonts w:cs="Times New Roman"/>
      <w:sz w:val="16"/>
    </w:rPr>
  </w:style>
  <w:style w:type="character" w:customStyle="1" w:styleId="79">
    <w:name w:val="彩色列表 - 强调文字颜色 1 Char"/>
    <w:basedOn w:val="43"/>
    <w:qFormat/>
    <w:uiPriority w:val="34"/>
  </w:style>
  <w:style w:type="character" w:customStyle="1" w:styleId="80">
    <w:name w:val="日期 字符"/>
    <w:link w:val="27"/>
    <w:qFormat/>
    <w:locked/>
    <w:uiPriority w:val="99"/>
    <w:rPr>
      <w:rFonts w:ascii="宋体" w:hAnsi="宋体"/>
      <w:sz w:val="24"/>
      <w:szCs w:val="24"/>
    </w:rPr>
  </w:style>
  <w:style w:type="character" w:customStyle="1" w:styleId="81">
    <w:name w:val="正文缩进 字符"/>
    <w:link w:val="16"/>
    <w:qFormat/>
    <w:uiPriority w:val="0"/>
    <w:rPr>
      <w:rFonts w:ascii="宋体"/>
      <w:sz w:val="24"/>
    </w:rPr>
  </w:style>
  <w:style w:type="character" w:customStyle="1" w:styleId="82">
    <w:name w:val="Header Char"/>
    <w:qFormat/>
    <w:locked/>
    <w:uiPriority w:val="99"/>
    <w:rPr>
      <w:rFonts w:ascii="Times New Roman" w:hAnsi="Times New Roman" w:eastAsia="宋体" w:cs="Times New Roman"/>
      <w:sz w:val="20"/>
    </w:rPr>
  </w:style>
  <w:style w:type="character" w:customStyle="1" w:styleId="83">
    <w:name w:val="正文文本 3 字符"/>
    <w:link w:val="20"/>
    <w:qFormat/>
    <w:uiPriority w:val="99"/>
    <w:rPr>
      <w:rFonts w:ascii="Calibri" w:hAnsi="Calibri"/>
      <w:sz w:val="16"/>
    </w:rPr>
  </w:style>
  <w:style w:type="character" w:customStyle="1" w:styleId="84">
    <w:name w:val="样式 正文缩进中邮（首行缩进两字）表正文正文非缩进特点标题标题4正文（首行缩进两字）正文（图说明文字居中）缩进... Char"/>
    <w:link w:val="85"/>
    <w:qFormat/>
    <w:uiPriority w:val="0"/>
    <w:rPr>
      <w:sz w:val="24"/>
      <w:szCs w:val="24"/>
    </w:rPr>
  </w:style>
  <w:style w:type="paragraph" w:customStyle="1" w:styleId="85">
    <w:name w:val="样式 正文缩进中邮（首行缩进两字）表正文正文非缩进特点标题标题4正文（首行缩进两字）正文（图说明文字居中）缩进..."/>
    <w:basedOn w:val="16"/>
    <w:link w:val="84"/>
    <w:qFormat/>
    <w:uiPriority w:val="0"/>
    <w:pPr>
      <w:autoSpaceDE/>
      <w:autoSpaceDN/>
      <w:adjustRightInd/>
      <w:spacing w:line="560" w:lineRule="exact"/>
      <w:ind w:firstLine="200" w:firstLineChars="200"/>
      <w:textAlignment w:val="auto"/>
    </w:pPr>
    <w:rPr>
      <w:rFonts w:asciiTheme="minorHAnsi"/>
      <w:szCs w:val="24"/>
    </w:rPr>
  </w:style>
  <w:style w:type="character" w:customStyle="1" w:styleId="86">
    <w:name w:val="Body Text Char"/>
    <w:qFormat/>
    <w:locked/>
    <w:uiPriority w:val="99"/>
    <w:rPr>
      <w:rFonts w:ascii="Times New Roman" w:hAnsi="Times New Roman"/>
      <w:color w:val="000000"/>
      <w:sz w:val="28"/>
    </w:rPr>
  </w:style>
  <w:style w:type="character" w:customStyle="1" w:styleId="87">
    <w:name w:val="Body Text Char1"/>
    <w:semiHidden/>
    <w:qFormat/>
    <w:locked/>
    <w:uiPriority w:val="99"/>
    <w:rPr>
      <w:rFonts w:cs="Times New Roman"/>
    </w:rPr>
  </w:style>
  <w:style w:type="character" w:customStyle="1" w:styleId="88">
    <w:name w:val="批注框文本 字符"/>
    <w:link w:val="29"/>
    <w:qFormat/>
    <w:uiPriority w:val="99"/>
    <w:rPr>
      <w:sz w:val="18"/>
      <w:szCs w:val="18"/>
    </w:rPr>
  </w:style>
  <w:style w:type="character" w:customStyle="1" w:styleId="89">
    <w:name w:val="文档结构图 字符"/>
    <w:link w:val="18"/>
    <w:semiHidden/>
    <w:qFormat/>
    <w:uiPriority w:val="99"/>
    <w:rPr>
      <w:szCs w:val="24"/>
      <w:shd w:val="clear" w:color="auto" w:fill="000080"/>
    </w:rPr>
  </w:style>
  <w:style w:type="character" w:customStyle="1" w:styleId="90">
    <w:name w:val="Heading 2 Char"/>
    <w:qFormat/>
    <w:locked/>
    <w:uiPriority w:val="99"/>
    <w:rPr>
      <w:rFonts w:ascii="Arial" w:hAnsi="Arial" w:eastAsia="黑体" w:cs="Times New Roman"/>
      <w:b/>
      <w:sz w:val="20"/>
    </w:rPr>
  </w:style>
  <w:style w:type="character" w:customStyle="1" w:styleId="91">
    <w:name w:val="Body Text 3 Char1"/>
    <w:semiHidden/>
    <w:qFormat/>
    <w:locked/>
    <w:uiPriority w:val="99"/>
    <w:rPr>
      <w:rFonts w:cs="Times New Roman"/>
      <w:sz w:val="16"/>
    </w:rPr>
  </w:style>
  <w:style w:type="character" w:customStyle="1" w:styleId="92">
    <w:name w:val="正文文本缩进 3 字符"/>
    <w:link w:val="34"/>
    <w:qFormat/>
    <w:locked/>
    <w:uiPriority w:val="0"/>
    <w:rPr>
      <w:rFonts w:ascii="宋体"/>
      <w:sz w:val="24"/>
      <w:szCs w:val="24"/>
    </w:rPr>
  </w:style>
  <w:style w:type="character" w:customStyle="1" w:styleId="93">
    <w:name w:val="Body Text 3 Char"/>
    <w:qFormat/>
    <w:locked/>
    <w:uiPriority w:val="99"/>
    <w:rPr>
      <w:rFonts w:ascii="华文行楷" w:hAnsi="华文细黑" w:eastAsia="华文行楷"/>
      <w:b/>
      <w:sz w:val="24"/>
    </w:rPr>
  </w:style>
  <w:style w:type="character" w:customStyle="1" w:styleId="94">
    <w:name w:val="正文1 Char"/>
    <w:link w:val="95"/>
    <w:qFormat/>
    <w:uiPriority w:val="0"/>
    <w:rPr>
      <w:rFonts w:eastAsia="仿宋"/>
      <w:sz w:val="32"/>
    </w:rPr>
  </w:style>
  <w:style w:type="paragraph" w:customStyle="1" w:styleId="95">
    <w:name w:val="正文1"/>
    <w:basedOn w:val="1"/>
    <w:link w:val="94"/>
    <w:qFormat/>
    <w:uiPriority w:val="0"/>
    <w:pPr>
      <w:widowControl w:val="0"/>
      <w:spacing w:line="560" w:lineRule="exact"/>
      <w:ind w:left="210" w:right="210" w:firstLine="420" w:firstLineChars="200"/>
      <w:jc w:val="both"/>
    </w:pPr>
    <w:rPr>
      <w:rFonts w:eastAsia="仿宋" w:asciiTheme="minorHAnsi" w:hAnsiTheme="minorHAnsi" w:cstheme="minorBidi"/>
      <w:kern w:val="2"/>
      <w:sz w:val="32"/>
      <w:szCs w:val="22"/>
    </w:rPr>
  </w:style>
  <w:style w:type="character" w:customStyle="1" w:styleId="96">
    <w:name w:val="副标题 字符"/>
    <w:link w:val="33"/>
    <w:qFormat/>
    <w:uiPriority w:val="11"/>
    <w:rPr>
      <w:rFonts w:ascii="Cambria" w:hAnsi="Cambria"/>
      <w:b/>
      <w:bCs/>
      <w:kern w:val="28"/>
      <w:sz w:val="32"/>
      <w:szCs w:val="32"/>
    </w:rPr>
  </w:style>
  <w:style w:type="character" w:customStyle="1" w:styleId="97">
    <w:name w:val="正文文本缩进 3 Char"/>
    <w:semiHidden/>
    <w:qFormat/>
    <w:uiPriority w:val="99"/>
    <w:rPr>
      <w:kern w:val="2"/>
      <w:sz w:val="16"/>
      <w:szCs w:val="16"/>
    </w:rPr>
  </w:style>
  <w:style w:type="paragraph" w:customStyle="1" w:styleId="98">
    <w:name w:val="_Style 64"/>
    <w:basedOn w:val="1"/>
    <w:next w:val="61"/>
    <w:qFormat/>
    <w:uiPriority w:val="0"/>
    <w:pPr>
      <w:widowControl w:val="0"/>
      <w:ind w:firstLine="420" w:firstLineChars="200"/>
      <w:jc w:val="both"/>
    </w:pPr>
    <w:rPr>
      <w:rFonts w:ascii="Times New Roman" w:hAnsi="Times New Roman" w:cs="Times New Roman"/>
      <w:kern w:val="2"/>
      <w:sz w:val="21"/>
    </w:rPr>
  </w:style>
  <w:style w:type="character" w:customStyle="1" w:styleId="99">
    <w:name w:val="正文文本 字符1"/>
    <w:basedOn w:val="43"/>
    <w:semiHidden/>
    <w:qFormat/>
    <w:uiPriority w:val="99"/>
    <w:rPr>
      <w:rFonts w:ascii="Times New Roman" w:hAnsi="Times New Roman" w:eastAsia="宋体" w:cs="Times New Roman"/>
      <w:szCs w:val="24"/>
    </w:rPr>
  </w:style>
  <w:style w:type="paragraph" w:customStyle="1" w:styleId="100">
    <w:name w:val="TOC 标题1"/>
    <w:basedOn w:val="4"/>
    <w:next w:val="1"/>
    <w:unhideWhenUsed/>
    <w:qFormat/>
    <w:uiPriority w:val="39"/>
    <w:pPr>
      <w:widowControl/>
      <w:numPr>
        <w:numId w:val="0"/>
      </w:numPr>
      <w:adjustRightInd/>
      <w:spacing w:before="240" w:after="0" w:line="259" w:lineRule="auto"/>
      <w:jc w:val="left"/>
      <w:textAlignment w:val="auto"/>
      <w:outlineLvl w:val="9"/>
    </w:pPr>
    <w:rPr>
      <w:rFonts w:ascii="Calibri Light" w:hAnsi="Calibri Light" w:eastAsia="黑体" w:cs="黑体"/>
      <w:b w:val="0"/>
      <w:color w:val="2D73B3"/>
      <w:kern w:val="0"/>
      <w:szCs w:val="32"/>
    </w:rPr>
  </w:style>
  <w:style w:type="character" w:customStyle="1" w:styleId="101">
    <w:name w:val="日期 字符1"/>
    <w:basedOn w:val="43"/>
    <w:semiHidden/>
    <w:qFormat/>
    <w:uiPriority w:val="99"/>
    <w:rPr>
      <w:rFonts w:ascii="Times New Roman" w:hAnsi="Times New Roman" w:eastAsia="宋体" w:cs="Times New Roman"/>
      <w:szCs w:val="24"/>
    </w:rPr>
  </w:style>
  <w:style w:type="character" w:customStyle="1" w:styleId="102">
    <w:name w:val="标题 字符1"/>
    <w:basedOn w:val="43"/>
    <w:qFormat/>
    <w:uiPriority w:val="10"/>
    <w:rPr>
      <w:rFonts w:asciiTheme="majorHAnsi" w:hAnsiTheme="majorHAnsi" w:eastAsiaTheme="majorEastAsia" w:cstheme="majorBidi"/>
      <w:b/>
      <w:bCs/>
      <w:sz w:val="32"/>
      <w:szCs w:val="32"/>
    </w:rPr>
  </w:style>
  <w:style w:type="character" w:customStyle="1" w:styleId="103">
    <w:name w:val="正文文本缩进 2 字符"/>
    <w:basedOn w:val="43"/>
    <w:link w:val="28"/>
    <w:qFormat/>
    <w:uiPriority w:val="0"/>
    <w:rPr>
      <w:rFonts w:ascii="宋体" w:hAnsi="Times New Roman" w:eastAsia="宋体" w:cs="Times New Roman"/>
      <w:sz w:val="24"/>
      <w:szCs w:val="24"/>
    </w:rPr>
  </w:style>
  <w:style w:type="paragraph" w:customStyle="1" w:styleId="104">
    <w:name w:val="正文 New New New New New New New"/>
    <w:qFormat/>
    <w:uiPriority w:val="99"/>
    <w:pPr>
      <w:widowControl w:val="0"/>
      <w:jc w:val="both"/>
    </w:pPr>
    <w:rPr>
      <w:rFonts w:ascii="Calibri" w:hAnsi="Calibri" w:eastAsia="宋体" w:cs="Calibri"/>
      <w:kern w:val="2"/>
      <w:sz w:val="21"/>
      <w:lang w:val="en-US" w:eastAsia="zh-CN" w:bidi="ar-SA"/>
    </w:rPr>
  </w:style>
  <w:style w:type="character" w:customStyle="1" w:styleId="105">
    <w:name w:val="正文文本缩进 字符1"/>
    <w:basedOn w:val="43"/>
    <w:semiHidden/>
    <w:qFormat/>
    <w:uiPriority w:val="99"/>
    <w:rPr>
      <w:rFonts w:ascii="Times New Roman" w:hAnsi="Times New Roman" w:eastAsia="宋体" w:cs="Times New Roman"/>
      <w:szCs w:val="24"/>
    </w:rPr>
  </w:style>
  <w:style w:type="character" w:customStyle="1" w:styleId="106">
    <w:name w:val="批注文字 字符1"/>
    <w:basedOn w:val="43"/>
    <w:link w:val="19"/>
    <w:qFormat/>
    <w:uiPriority w:val="0"/>
    <w:rPr>
      <w:rFonts w:ascii="Times New Roman" w:hAnsi="Times New Roman" w:eastAsia="宋体" w:cs="Times New Roman"/>
      <w:szCs w:val="24"/>
    </w:rPr>
  </w:style>
  <w:style w:type="character" w:customStyle="1" w:styleId="107">
    <w:name w:val="批注主题 字符1"/>
    <w:basedOn w:val="106"/>
    <w:semiHidden/>
    <w:qFormat/>
    <w:uiPriority w:val="99"/>
    <w:rPr>
      <w:rFonts w:ascii="Times New Roman" w:hAnsi="Times New Roman" w:eastAsia="宋体" w:cs="Times New Roman"/>
      <w:b/>
      <w:bCs/>
      <w:szCs w:val="24"/>
    </w:rPr>
  </w:style>
  <w:style w:type="paragraph" w:customStyle="1" w:styleId="108">
    <w:name w:val="标题1"/>
    <w:basedOn w:val="36"/>
    <w:qFormat/>
    <w:uiPriority w:val="0"/>
    <w:pPr>
      <w:spacing w:after="240"/>
    </w:pPr>
    <w:rPr>
      <w:rFonts w:ascii="Arial" w:hAnsi="Arial"/>
      <w:bCs w:val="0"/>
      <w:spacing w:val="2"/>
      <w:sz w:val="44"/>
      <w:szCs w:val="20"/>
    </w:rPr>
  </w:style>
  <w:style w:type="paragraph" w:customStyle="1" w:styleId="109">
    <w:name w:val="字元 字元"/>
    <w:basedOn w:val="1"/>
    <w:qFormat/>
    <w:uiPriority w:val="99"/>
    <w:pPr>
      <w:widowControl w:val="0"/>
      <w:jc w:val="both"/>
    </w:pPr>
    <w:rPr>
      <w:rFonts w:ascii="仿宋_GB2312" w:hAnsi="Times New Roman" w:eastAsia="仿宋_GB2312" w:cs="Times New Roman"/>
      <w:b/>
      <w:kern w:val="2"/>
      <w:sz w:val="32"/>
      <w:szCs w:val="32"/>
    </w:rPr>
  </w:style>
  <w:style w:type="character" w:customStyle="1" w:styleId="110">
    <w:name w:val="批注框文本 字符1"/>
    <w:basedOn w:val="43"/>
    <w:semiHidden/>
    <w:qFormat/>
    <w:uiPriority w:val="99"/>
    <w:rPr>
      <w:rFonts w:ascii="Times New Roman" w:hAnsi="Times New Roman" w:eastAsia="宋体" w:cs="Times New Roman"/>
      <w:sz w:val="18"/>
      <w:szCs w:val="18"/>
    </w:rPr>
  </w:style>
  <w:style w:type="character" w:customStyle="1" w:styleId="111">
    <w:name w:val="正文文本缩进 3 字符1"/>
    <w:basedOn w:val="43"/>
    <w:semiHidden/>
    <w:qFormat/>
    <w:uiPriority w:val="99"/>
    <w:rPr>
      <w:rFonts w:ascii="Times New Roman" w:hAnsi="Times New Roman" w:eastAsia="宋体" w:cs="Times New Roman"/>
      <w:sz w:val="16"/>
      <w:szCs w:val="16"/>
    </w:rPr>
  </w:style>
  <w:style w:type="character" w:customStyle="1" w:styleId="112">
    <w:name w:val="纯文本 字符1"/>
    <w:basedOn w:val="43"/>
    <w:semiHidden/>
    <w:qFormat/>
    <w:uiPriority w:val="99"/>
    <w:rPr>
      <w:rFonts w:hAnsi="Courier New" w:cs="Courier New" w:asciiTheme="minorEastAsia"/>
      <w:szCs w:val="24"/>
    </w:rPr>
  </w:style>
  <w:style w:type="character" w:customStyle="1" w:styleId="113">
    <w:name w:val="文档结构图 字符1"/>
    <w:basedOn w:val="43"/>
    <w:semiHidden/>
    <w:qFormat/>
    <w:uiPriority w:val="99"/>
    <w:rPr>
      <w:rFonts w:ascii="Microsoft YaHei UI" w:hAnsi="Times New Roman" w:eastAsia="Microsoft YaHei UI" w:cs="Times New Roman"/>
      <w:sz w:val="18"/>
      <w:szCs w:val="18"/>
    </w:rPr>
  </w:style>
  <w:style w:type="character" w:customStyle="1" w:styleId="114">
    <w:name w:val="正文文本 3 字符1"/>
    <w:basedOn w:val="43"/>
    <w:semiHidden/>
    <w:qFormat/>
    <w:uiPriority w:val="99"/>
    <w:rPr>
      <w:rFonts w:ascii="Times New Roman" w:hAnsi="Times New Roman" w:eastAsia="宋体" w:cs="Times New Roman"/>
      <w:sz w:val="16"/>
      <w:szCs w:val="16"/>
    </w:rPr>
  </w:style>
  <w:style w:type="character" w:customStyle="1" w:styleId="115">
    <w:name w:val="副标题 字符1"/>
    <w:basedOn w:val="43"/>
    <w:qFormat/>
    <w:uiPriority w:val="11"/>
    <w:rPr>
      <w:b/>
      <w:bCs/>
      <w:kern w:val="28"/>
      <w:sz w:val="32"/>
      <w:szCs w:val="32"/>
    </w:rPr>
  </w:style>
  <w:style w:type="paragraph" w:customStyle="1" w:styleId="116">
    <w:name w:val="Char Char Char Char"/>
    <w:basedOn w:val="1"/>
    <w:qFormat/>
    <w:uiPriority w:val="99"/>
    <w:pPr>
      <w:widowControl w:val="0"/>
      <w:jc w:val="both"/>
    </w:pPr>
    <w:rPr>
      <w:rFonts w:ascii="Times New Roman" w:hAnsi="Times New Roman" w:cs="Times New Roman"/>
      <w:sz w:val="20"/>
      <w:szCs w:val="20"/>
    </w:rPr>
  </w:style>
  <w:style w:type="paragraph" w:customStyle="1" w:styleId="117">
    <w:name w:val="段落1"/>
    <w:basedOn w:val="1"/>
    <w:qFormat/>
    <w:uiPriority w:val="99"/>
    <w:pPr>
      <w:widowControl w:val="0"/>
      <w:spacing w:after="120" w:line="360" w:lineRule="auto"/>
      <w:ind w:left="1080" w:hanging="360"/>
      <w:jc w:val="both"/>
    </w:pPr>
    <w:rPr>
      <w:rFonts w:ascii="Times New Roman" w:hAnsi="Times New Roman" w:cs="Times New Roman"/>
      <w:kern w:val="2"/>
      <w:szCs w:val="20"/>
    </w:rPr>
  </w:style>
  <w:style w:type="paragraph" w:customStyle="1" w:styleId="118">
    <w:name w:val="my标题 4"/>
    <w:basedOn w:val="61"/>
    <w:qFormat/>
    <w:uiPriority w:val="0"/>
    <w:pPr>
      <w:numPr>
        <w:ilvl w:val="3"/>
        <w:numId w:val="5"/>
      </w:numPr>
      <w:tabs>
        <w:tab w:val="left" w:pos="1680"/>
      </w:tabs>
      <w:adjustRightInd w:val="0"/>
      <w:snapToGrid w:val="0"/>
      <w:spacing w:line="560" w:lineRule="exact"/>
      <w:ind w:left="1680" w:firstLine="0" w:firstLineChars="0"/>
      <w:outlineLvl w:val="3"/>
    </w:pPr>
    <w:rPr>
      <w:rFonts w:ascii="Times New Roman" w:hAnsi="Times New Roman" w:eastAsia="仿宋" w:cs="Times New Roman"/>
      <w:b/>
      <w:sz w:val="32"/>
      <w:szCs w:val="28"/>
    </w:rPr>
  </w:style>
  <w:style w:type="paragraph" w:customStyle="1" w:styleId="119">
    <w:name w:val="修订1"/>
    <w:semiHidden/>
    <w:qFormat/>
    <w:uiPriority w:val="99"/>
    <w:rPr>
      <w:rFonts w:ascii="Times New Roman" w:hAnsi="Times New Roman" w:eastAsia="宋体" w:cs="Times New Roman"/>
      <w:kern w:val="2"/>
      <w:sz w:val="21"/>
      <w:lang w:val="en-US" w:eastAsia="zh-CN" w:bidi="ar-SA"/>
    </w:rPr>
  </w:style>
  <w:style w:type="paragraph" w:customStyle="1" w:styleId="120">
    <w:name w:val="保信重点1"/>
    <w:basedOn w:val="1"/>
    <w:qFormat/>
    <w:uiPriority w:val="0"/>
    <w:pPr>
      <w:widowControl w:val="0"/>
      <w:spacing w:line="560" w:lineRule="exact"/>
      <w:jc w:val="both"/>
      <w:outlineLvl w:val="1"/>
    </w:pPr>
    <w:rPr>
      <w:rFonts w:cs="Times New Roman"/>
      <w:b/>
      <w:kern w:val="2"/>
      <w:sz w:val="28"/>
      <w:szCs w:val="28"/>
    </w:rPr>
  </w:style>
  <w:style w:type="paragraph" w:customStyle="1" w:styleId="121">
    <w:name w:val="方案列表1"/>
    <w:basedOn w:val="1"/>
    <w:qFormat/>
    <w:uiPriority w:val="0"/>
    <w:pPr>
      <w:widowControl w:val="0"/>
      <w:numPr>
        <w:ilvl w:val="0"/>
        <w:numId w:val="6"/>
      </w:numPr>
      <w:spacing w:afterLines="20" w:line="312" w:lineRule="auto"/>
      <w:ind w:left="500" w:leftChars="300" w:hanging="200" w:hangingChars="200"/>
      <w:jc w:val="both"/>
    </w:pPr>
    <w:rPr>
      <w:rFonts w:ascii="Times New Roman" w:hAnsi="Times New Roman" w:cs="Times New Roman"/>
      <w:kern w:val="2"/>
      <w:szCs w:val="20"/>
    </w:rPr>
  </w:style>
  <w:style w:type="paragraph" w:customStyle="1" w:styleId="122">
    <w:name w:val="小项目"/>
    <w:basedOn w:val="21"/>
    <w:qFormat/>
    <w:uiPriority w:val="99"/>
    <w:pPr>
      <w:tabs>
        <w:tab w:val="left" w:pos="1271"/>
      </w:tabs>
      <w:spacing w:before="60" w:after="60"/>
      <w:ind w:left="1271" w:hanging="420"/>
    </w:pPr>
    <w:rPr>
      <w:rFonts w:hAnsi="宋体"/>
      <w:b/>
    </w:rPr>
  </w:style>
  <w:style w:type="paragraph" w:customStyle="1" w:styleId="123">
    <w:name w:val="p0"/>
    <w:basedOn w:val="1"/>
    <w:qFormat/>
    <w:uiPriority w:val="0"/>
    <w:pPr>
      <w:spacing w:line="560" w:lineRule="exact"/>
      <w:ind w:firstLine="200" w:firstLineChars="200"/>
      <w:jc w:val="both"/>
    </w:pPr>
    <w:rPr>
      <w:rFonts w:ascii="Times New Roman" w:hAnsi="Times New Roman" w:cs="Times New Roman"/>
      <w:sz w:val="32"/>
      <w:szCs w:val="21"/>
    </w:rPr>
  </w:style>
  <w:style w:type="paragraph" w:customStyle="1" w:styleId="124">
    <w:name w:val="xl53"/>
    <w:basedOn w:val="1"/>
    <w:qFormat/>
    <w:uiPriority w:val="99"/>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s="Times New Roman"/>
      <w:sz w:val="16"/>
      <w:szCs w:val="20"/>
    </w:rPr>
  </w:style>
  <w:style w:type="paragraph" w:customStyle="1" w:styleId="125">
    <w:name w:val="通用"/>
    <w:basedOn w:val="1"/>
    <w:qFormat/>
    <w:uiPriority w:val="0"/>
    <w:pPr>
      <w:widowControl w:val="0"/>
      <w:spacing w:after="312" w:afterLines="100"/>
      <w:ind w:left="840" w:leftChars="400"/>
      <w:jc w:val="both"/>
    </w:pPr>
    <w:rPr>
      <w:rFonts w:hAnsi="Times New Roman" w:cs="Times New Roman"/>
      <w:kern w:val="2"/>
      <w:sz w:val="21"/>
      <w:szCs w:val="20"/>
    </w:rPr>
  </w:style>
  <w:style w:type="paragraph" w:customStyle="1" w:styleId="126">
    <w:name w:val="Body text 1"/>
    <w:basedOn w:val="127"/>
    <w:qFormat/>
    <w:uiPriority w:val="0"/>
    <w:pPr>
      <w:tabs>
        <w:tab w:val="left" w:pos="1134"/>
      </w:tabs>
      <w:ind w:hanging="1134"/>
    </w:pPr>
  </w:style>
  <w:style w:type="paragraph" w:customStyle="1" w:styleId="12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8">
    <w:name w:val="正文缩进2字"/>
    <w:basedOn w:val="1"/>
    <w:qFormat/>
    <w:uiPriority w:val="99"/>
    <w:pPr>
      <w:widowControl w:val="0"/>
      <w:autoSpaceDN w:val="0"/>
      <w:spacing w:before="120" w:after="100" w:afterAutospacing="1"/>
      <w:ind w:firstLine="200" w:firstLineChars="200"/>
    </w:pPr>
    <w:rPr>
      <w:rFonts w:cs="Times New Roman"/>
      <w:kern w:val="2"/>
    </w:rPr>
  </w:style>
  <w:style w:type="paragraph" w:customStyle="1" w:styleId="129">
    <w:name w:val="my标题 1"/>
    <w:basedOn w:val="61"/>
    <w:qFormat/>
    <w:uiPriority w:val="0"/>
    <w:pPr>
      <w:numPr>
        <w:ilvl w:val="0"/>
        <w:numId w:val="5"/>
      </w:numPr>
      <w:adjustRightInd w:val="0"/>
      <w:snapToGrid w:val="0"/>
      <w:spacing w:line="560" w:lineRule="exact"/>
      <w:ind w:firstLineChars="0"/>
      <w:jc w:val="left"/>
      <w:outlineLvl w:val="0"/>
    </w:pPr>
    <w:rPr>
      <w:rFonts w:ascii="黑体" w:hAnsi="Calibri" w:eastAsia="黑体" w:cs="Times New Roman"/>
      <w:sz w:val="32"/>
      <w:szCs w:val="44"/>
    </w:rPr>
  </w:style>
  <w:style w:type="paragraph" w:customStyle="1" w:styleId="130">
    <w:name w:val="TOC 标题2"/>
    <w:basedOn w:val="4"/>
    <w:next w:val="1"/>
    <w:qFormat/>
    <w:uiPriority w:val="39"/>
    <w:pPr>
      <w:widowControl/>
      <w:numPr>
        <w:numId w:val="0"/>
      </w:numPr>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131">
    <w:name w:val="my标题5"/>
    <w:basedOn w:val="118"/>
    <w:qFormat/>
    <w:uiPriority w:val="0"/>
    <w:pPr>
      <w:numPr>
        <w:ilvl w:val="0"/>
        <w:numId w:val="7"/>
      </w:numPr>
      <w:tabs>
        <w:tab w:val="left" w:pos="360"/>
      </w:tabs>
      <w:ind w:left="198" w:firstLine="0"/>
    </w:pPr>
    <w:rPr>
      <w:b w:val="0"/>
    </w:rPr>
  </w:style>
  <w:style w:type="paragraph" w:customStyle="1" w:styleId="132">
    <w:name w:val="Blockquote"/>
    <w:basedOn w:val="1"/>
    <w:qFormat/>
    <w:uiPriority w:val="99"/>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133">
    <w:name w:val="方案正文"/>
    <w:basedOn w:val="1"/>
    <w:qFormat/>
    <w:uiPriority w:val="0"/>
    <w:pPr>
      <w:widowControl w:val="0"/>
      <w:adjustRightInd w:val="0"/>
      <w:spacing w:beforeLines="20" w:afterLines="20" w:line="312" w:lineRule="auto"/>
      <w:ind w:firstLine="476" w:firstLineChars="200"/>
      <w:jc w:val="both"/>
      <w:textAlignment w:val="baseline"/>
    </w:pPr>
    <w:rPr>
      <w:rFonts w:ascii="Times New Roman" w:hAnsi="Times New Roman" w:cs="Times New Roman"/>
      <w:kern w:val="2"/>
      <w:szCs w:val="20"/>
    </w:rPr>
  </w:style>
  <w:style w:type="paragraph" w:customStyle="1" w:styleId="134">
    <w:name w:val="my标题 3"/>
    <w:basedOn w:val="61"/>
    <w:qFormat/>
    <w:uiPriority w:val="0"/>
    <w:pPr>
      <w:numPr>
        <w:ilvl w:val="2"/>
        <w:numId w:val="5"/>
      </w:numPr>
      <w:tabs>
        <w:tab w:val="left" w:pos="1260"/>
      </w:tabs>
      <w:spacing w:line="560" w:lineRule="exact"/>
      <w:ind w:left="400" w:leftChars="400" w:firstLine="0" w:firstLineChars="0"/>
      <w:outlineLvl w:val="2"/>
    </w:pPr>
    <w:rPr>
      <w:rFonts w:ascii="Times New Roman" w:hAnsi="Times New Roman" w:eastAsia="仿宋" w:cs="Times New Roman"/>
      <w:b/>
      <w:sz w:val="32"/>
      <w:szCs w:val="32"/>
    </w:rPr>
  </w:style>
  <w:style w:type="paragraph" w:customStyle="1" w:styleId="135">
    <w:name w:val="Char Char Char Char1"/>
    <w:basedOn w:val="1"/>
    <w:qFormat/>
    <w:uiPriority w:val="0"/>
    <w:pPr>
      <w:widowControl w:val="0"/>
      <w:jc w:val="both"/>
    </w:pPr>
    <w:rPr>
      <w:rFonts w:ascii="Times New Roman" w:hAnsi="Times New Roman" w:cs="Times New Roman"/>
      <w:kern w:val="2"/>
      <w:sz w:val="21"/>
    </w:rPr>
  </w:style>
  <w:style w:type="paragraph" w:customStyle="1" w:styleId="136">
    <w:name w:val="文档正文"/>
    <w:basedOn w:val="1"/>
    <w:qFormat/>
    <w:uiPriority w:val="0"/>
    <w:pPr>
      <w:widowControl w:val="0"/>
      <w:adjustRightInd w:val="0"/>
      <w:spacing w:after="120" w:line="560" w:lineRule="exact"/>
      <w:ind w:right="630" w:firstLine="420" w:firstLineChars="200"/>
      <w:jc w:val="both"/>
      <w:textAlignment w:val="baseline"/>
    </w:pPr>
    <w:rPr>
      <w:rFonts w:cs="Times New Roman"/>
      <w:bCs/>
      <w:color w:val="000000"/>
      <w:kern w:val="2"/>
    </w:rPr>
  </w:style>
  <w:style w:type="paragraph" w:customStyle="1" w:styleId="137">
    <w:name w:val="my标题 2"/>
    <w:basedOn w:val="61"/>
    <w:qFormat/>
    <w:uiPriority w:val="0"/>
    <w:pPr>
      <w:numPr>
        <w:ilvl w:val="1"/>
        <w:numId w:val="5"/>
      </w:numPr>
      <w:tabs>
        <w:tab w:val="left" w:pos="840"/>
      </w:tabs>
      <w:spacing w:line="560" w:lineRule="exact"/>
      <w:ind w:left="400" w:leftChars="400" w:firstLine="0" w:firstLineChars="0"/>
      <w:outlineLvl w:val="1"/>
    </w:pPr>
    <w:rPr>
      <w:rFonts w:ascii="Times New Roman" w:hAnsi="Times New Roman" w:eastAsia="仿宋" w:cs="Times New Roman"/>
      <w:b/>
      <w:sz w:val="32"/>
      <w:szCs w:val="32"/>
    </w:rPr>
  </w:style>
  <w:style w:type="paragraph" w:customStyle="1" w:styleId="138">
    <w:name w:val="列出段落1"/>
    <w:basedOn w:val="1"/>
    <w:qFormat/>
    <w:uiPriority w:val="99"/>
    <w:pPr>
      <w:widowControl w:val="0"/>
      <w:ind w:firstLine="420" w:firstLineChars="200"/>
      <w:jc w:val="both"/>
    </w:pPr>
    <w:rPr>
      <w:rFonts w:ascii="Times New Roman" w:hAnsi="Times New Roman" w:cs="Times New Roman"/>
      <w:kern w:val="2"/>
      <w:sz w:val="21"/>
      <w:szCs w:val="20"/>
    </w:rPr>
  </w:style>
  <w:style w:type="paragraph" w:customStyle="1" w:styleId="139">
    <w:name w:val="artcon"/>
    <w:basedOn w:val="1"/>
    <w:qFormat/>
    <w:uiPriority w:val="0"/>
    <w:pPr>
      <w:spacing w:before="100" w:beforeAutospacing="1" w:after="100" w:afterAutospacing="1"/>
    </w:pPr>
  </w:style>
  <w:style w:type="table" w:customStyle="1" w:styleId="140">
    <w:name w:val="网格型1"/>
    <w:basedOn w:val="3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142">
    <w:name w:val="样式 标题 3 + (中文) 黑体 小四 非加粗 段前: 7.8 磅 段后: 0 磅 行距: 固定值 20 磅"/>
    <w:basedOn w:val="6"/>
    <w:qFormat/>
    <w:uiPriority w:val="99"/>
    <w:pPr>
      <w:spacing w:before="0" w:after="0" w:line="400" w:lineRule="exact"/>
    </w:pPr>
    <w:rPr>
      <w:rFonts w:eastAsia="黑体" w:cs="宋体"/>
      <w:b w:val="0"/>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修订2"/>
    <w:hidden/>
    <w:semiHidden/>
    <w:qFormat/>
    <w:uiPriority w:val="99"/>
    <w:rPr>
      <w:rFonts w:ascii="宋体" w:hAnsi="宋体" w:eastAsia="宋体" w:cs="宋体"/>
      <w:sz w:val="24"/>
      <w:szCs w:val="24"/>
      <w:lang w:val="en-US" w:eastAsia="zh-CN" w:bidi="ar-SA"/>
    </w:rPr>
  </w:style>
  <w:style w:type="paragraph" w:customStyle="1" w:styleId="145">
    <w:name w:val="样式1"/>
    <w:basedOn w:val="1"/>
    <w:qFormat/>
    <w:uiPriority w:val="0"/>
    <w:pPr>
      <w:numPr>
        <w:ilvl w:val="0"/>
        <w:numId w:val="8"/>
      </w:numPr>
      <w:tabs>
        <w:tab w:val="left" w:pos="709"/>
      </w:tabs>
      <w:adjustRightInd w:val="0"/>
      <w:textAlignment w:val="baseline"/>
    </w:pPr>
    <w:rPr>
      <w:rFonts w:cs="Times New Roman"/>
      <w:szCs w:val="21"/>
    </w:rPr>
  </w:style>
  <w:style w:type="paragraph" w:customStyle="1" w:styleId="146">
    <w:name w:val="刘磊的样式"/>
    <w:basedOn w:val="5"/>
    <w:qFormat/>
    <w:uiPriority w:val="0"/>
    <w:pPr>
      <w:numPr>
        <w:ilvl w:val="1"/>
        <w:numId w:val="9"/>
      </w:numPr>
      <w:tabs>
        <w:tab w:val="left" w:pos="576"/>
      </w:tabs>
      <w:adjustRightInd/>
      <w:spacing w:before="0" w:beforeLines="100" w:after="0" w:afterLines="100" w:line="240" w:lineRule="auto"/>
      <w:ind w:firstLine="0"/>
      <w:textAlignment w:val="auto"/>
    </w:pPr>
    <w:rPr>
      <w:rFonts w:ascii="黑体"/>
      <w:b w:val="0"/>
      <w:kern w:val="2"/>
      <w:sz w:val="24"/>
    </w:rPr>
  </w:style>
  <w:style w:type="paragraph" w:customStyle="1" w:styleId="147">
    <w:name w:val="修订3"/>
    <w:hidden/>
    <w:semiHidden/>
    <w:qFormat/>
    <w:uiPriority w:val="99"/>
    <w:rPr>
      <w:rFonts w:ascii="宋体" w:hAnsi="宋体" w:eastAsia="宋体" w:cs="宋体"/>
      <w:sz w:val="24"/>
      <w:szCs w:val="24"/>
      <w:lang w:val="en-US" w:eastAsia="zh-CN" w:bidi="ar-SA"/>
    </w:rPr>
  </w:style>
  <w:style w:type="character" w:customStyle="1" w:styleId="148">
    <w:name w:val="未处理的提及1"/>
    <w:basedOn w:val="43"/>
    <w:semiHidden/>
    <w:unhideWhenUsed/>
    <w:qFormat/>
    <w:uiPriority w:val="99"/>
    <w:rPr>
      <w:color w:val="605E5C"/>
      <w:shd w:val="clear" w:color="auto" w:fill="E1DFDD"/>
    </w:rPr>
  </w:style>
  <w:style w:type="paragraph" w:customStyle="1" w:styleId="149">
    <w:name w:val="List Paragraph1"/>
    <w:basedOn w:val="1"/>
    <w:qFormat/>
    <w:uiPriority w:val="0"/>
    <w:pPr>
      <w:widowControl w:val="0"/>
      <w:ind w:firstLine="420" w:firstLineChars="200"/>
      <w:jc w:val="both"/>
    </w:pPr>
    <w:rPr>
      <w:rFonts w:ascii="Calibri" w:hAnsi="Calibri" w:cs="Times New Roman"/>
      <w:kern w:val="2"/>
      <w:sz w:val="21"/>
      <w:szCs w:val="22"/>
    </w:rPr>
  </w:style>
  <w:style w:type="character" w:customStyle="1" w:styleId="150">
    <w:name w:val="脚注文本 字符"/>
    <w:link w:val="3"/>
    <w:qFormat/>
    <w:uiPriority w:val="0"/>
    <w:rPr>
      <w:rFonts w:ascii="宋体" w:hAnsi="宋体" w:cs="宋体"/>
      <w:sz w:val="18"/>
      <w:szCs w:val="24"/>
    </w:rPr>
  </w:style>
  <w:style w:type="character" w:customStyle="1" w:styleId="151">
    <w:name w:val="NormalCharacter"/>
    <w:semiHidden/>
    <w:qFormat/>
    <w:uiPriority w:val="0"/>
  </w:style>
  <w:style w:type="character" w:customStyle="1" w:styleId="152">
    <w:name w:val="列表段落 字符"/>
    <w:qFormat/>
    <w:uiPriority w:val="34"/>
    <w:rPr>
      <w:kern w:val="2"/>
      <w:sz w:val="21"/>
      <w:szCs w:val="24"/>
    </w:rPr>
  </w:style>
  <w:style w:type="character" w:customStyle="1" w:styleId="153">
    <w:name w:val="中文正文、 Char Char"/>
    <w:link w:val="154"/>
    <w:qFormat/>
    <w:uiPriority w:val="0"/>
    <w:rPr>
      <w:rFonts w:ascii="Times New Roman" w:hAnsi="Times New Roman"/>
      <w:szCs w:val="21"/>
    </w:rPr>
  </w:style>
  <w:style w:type="paragraph" w:customStyle="1" w:styleId="154">
    <w:name w:val="中文正文、"/>
    <w:basedOn w:val="1"/>
    <w:link w:val="153"/>
    <w:qFormat/>
    <w:uiPriority w:val="0"/>
    <w:pPr>
      <w:widowControl w:val="0"/>
      <w:spacing w:line="360" w:lineRule="auto"/>
      <w:ind w:firstLine="420" w:firstLineChars="200"/>
    </w:pPr>
    <w:rPr>
      <w:rFonts w:ascii="Times New Roman" w:hAnsi="Times New Roman" w:cs="Times New Roman"/>
      <w:sz w:val="20"/>
      <w:szCs w:val="21"/>
    </w:rPr>
  </w:style>
  <w:style w:type="paragraph" w:customStyle="1" w:styleId="155">
    <w:name w:val="列表段落1"/>
    <w:basedOn w:val="1"/>
    <w:qFormat/>
    <w:uiPriority w:val="34"/>
    <w:pPr>
      <w:ind w:firstLine="420"/>
      <w:jc w:val="both"/>
    </w:pPr>
    <w:rPr>
      <w:rFonts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AppData/Local/Microsoft/Windows/Temporary%2520Internet%2520Files/Content.Outlook/AppData/Local/Microsoft/Windows/INetCache/Content.Outlook/Documents/WeChat%2520Files/wxid_2x61fs1er3yh21/FileStorage/File/Documents/WeChat%2520Files/wxid_2x61fs1er3yh21/FileStorage/File/Documents/WeChat%2520Files/wxid_2x61fs1er3yh21/FileStorage/File/Documents/WeChat%2520Files/wxid_2x61fs1er3yh21/FileStorage/YDZB-PC2/AppData/Roaming/Microsoft/AppData/Roaming/Administrator/AppData/Roaming/Tencent/Users/1144685106/TIM/WinTemp/RichOle/W5%2525V))ZIY_HPA8%2560SXLY(FEQ.png"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4221</Words>
  <Characters>24066</Characters>
  <Lines>200</Lines>
  <Paragraphs>56</Paragraphs>
  <TotalTime>133</TotalTime>
  <ScaleCrop>false</ScaleCrop>
  <LinksUpToDate>false</LinksUpToDate>
  <CharactersWithSpaces>28231</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2023-03-30T10:28:00Z</dcterms:created>
  <dc:creator>王 晶波</dc:creator>
  <cp:lastModifiedBy>WPS_1512361481</cp:lastModifiedBy>
  <cp:lastPrinted>2023-04-02T15:55:00Z</cp:lastPrinted>
  <dcterms:modified xsi:type="dcterms:W3CDTF">2023-04-07T14:49:56Z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4B5F0A9CF6A3029E14BD2F6493EC0D85</vt:lpwstr>
  </property>
</Properties>
</file>