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44"/>
          <w:szCs w:val="44"/>
        </w:rPr>
      </w:pPr>
      <w:bookmarkStart w:id="1" w:name="_GoBack"/>
      <w:bookmarkEnd w:id="1"/>
      <w:r>
        <w:rPr>
          <w:rFonts w:hAnsi="宋体"/>
          <w:b/>
          <w:sz w:val="44"/>
          <w:szCs w:val="44"/>
        </w:rPr>
        <w:t>合</w:t>
      </w:r>
      <w:r>
        <w:rPr>
          <w:b/>
          <w:sz w:val="44"/>
          <w:szCs w:val="44"/>
        </w:rPr>
        <w:t xml:space="preserve">   </w:t>
      </w:r>
      <w:r>
        <w:rPr>
          <w:rFonts w:hAnsi="宋体"/>
          <w:b/>
          <w:sz w:val="44"/>
          <w:szCs w:val="44"/>
        </w:rPr>
        <w:t>同</w:t>
      </w: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spacing w:line="360" w:lineRule="auto"/>
        <w:jc w:val="left"/>
        <w:rPr>
          <w:rFonts w:hAnsi="宋体"/>
        </w:rPr>
      </w:pPr>
      <w:r>
        <w:rPr>
          <w:rFonts w:hAnsi="宋体"/>
        </w:rPr>
        <w:t>甲方</w:t>
      </w:r>
      <w:r>
        <w:rPr>
          <w:rFonts w:hint="eastAsia" w:hAnsi="宋体"/>
        </w:rPr>
        <w:t>：</w:t>
      </w:r>
      <w:r>
        <w:rPr>
          <w:rFonts w:hAnsi="宋体"/>
        </w:rPr>
        <w:t>康辉集团北京国际会议展览有限公司</w:t>
      </w:r>
    </w:p>
    <w:p>
      <w:pPr>
        <w:tabs>
          <w:tab w:val="left" w:pos="2340"/>
        </w:tabs>
        <w:snapToGrid w:val="0"/>
        <w:spacing w:line="360" w:lineRule="auto"/>
        <w:rPr>
          <w:rFonts w:hAnsi="宋体"/>
        </w:rPr>
      </w:pPr>
      <w:r>
        <w:rPr>
          <w:rFonts w:hAnsi="宋体"/>
        </w:rPr>
        <w:t>地址：北京市朝阳区农展馆南路13号12层1510内002</w:t>
      </w:r>
    </w:p>
    <w:p>
      <w:pPr>
        <w:snapToGrid w:val="0"/>
        <w:spacing w:line="360" w:lineRule="auto"/>
        <w:jc w:val="left"/>
        <w:rPr>
          <w:rFonts w:hAnsi="宋体"/>
        </w:rPr>
      </w:pPr>
      <w:r>
        <w:rPr>
          <w:rFonts w:hAnsi="宋体"/>
        </w:rPr>
        <w:t xml:space="preserve">联系人： </w:t>
      </w:r>
      <w:r>
        <w:rPr>
          <w:rFonts w:hint="eastAsia" w:hAnsi="宋体"/>
        </w:rPr>
        <w:t>杨振</w:t>
      </w:r>
    </w:p>
    <w:p>
      <w:pPr>
        <w:snapToGrid w:val="0"/>
        <w:spacing w:line="360" w:lineRule="auto"/>
        <w:jc w:val="left"/>
      </w:pPr>
      <w:r>
        <w:rPr>
          <w:rFonts w:hAnsi="宋体"/>
        </w:rPr>
        <w:t>联系电话：</w:t>
      </w:r>
      <w:r>
        <w:rPr>
          <w:rFonts w:hint="eastAsia" w:hAnsi="宋体"/>
        </w:rPr>
        <w:t>13911404521</w:t>
      </w:r>
    </w:p>
    <w:p>
      <w:pPr>
        <w:snapToGrid w:val="0"/>
        <w:spacing w:line="360" w:lineRule="auto"/>
        <w:jc w:val="left"/>
      </w:pPr>
    </w:p>
    <w:p>
      <w:pPr>
        <w:snapToGrid w:val="0"/>
        <w:spacing w:line="360" w:lineRule="auto"/>
        <w:jc w:val="left"/>
      </w:pPr>
      <w:r>
        <w:rPr>
          <w:rFonts w:hAnsi="宋体"/>
        </w:rPr>
        <w:t>乙方：</w:t>
      </w:r>
      <w:bookmarkStart w:id="0" w:name="OLE_LINK1"/>
      <w:r>
        <w:rPr>
          <w:rFonts w:hAnsi="宋体"/>
        </w:rPr>
        <w:t>北京</w:t>
      </w:r>
      <w:bookmarkEnd w:id="0"/>
      <w:r>
        <w:rPr>
          <w:rFonts w:hAnsi="宋体"/>
        </w:rPr>
        <w:t>睿涵空间文化传播有限公司</w:t>
      </w:r>
    </w:p>
    <w:p>
      <w:pPr>
        <w:snapToGrid w:val="0"/>
        <w:spacing w:line="360" w:lineRule="auto"/>
        <w:jc w:val="left"/>
      </w:pPr>
      <w:r>
        <w:rPr>
          <w:rFonts w:hAnsi="宋体"/>
        </w:rPr>
        <w:t>地址：</w:t>
      </w:r>
      <w:r>
        <w:rPr>
          <w:rFonts w:hint="eastAsia" w:hAnsi="宋体"/>
        </w:rPr>
        <w:t>北京市</w:t>
      </w:r>
      <w:r>
        <w:rPr>
          <w:rFonts w:hAnsi="宋体"/>
        </w:rPr>
        <w:t>朝阳区三里屯甲2</w:t>
      </w:r>
      <w:r>
        <w:rPr>
          <w:rFonts w:hint="eastAsia" w:hAnsi="宋体"/>
        </w:rPr>
        <w:t>号</w:t>
      </w:r>
      <w:r>
        <w:rPr>
          <w:rFonts w:hAnsi="宋体"/>
        </w:rPr>
        <w:t>盈科中心5</w:t>
      </w:r>
      <w:r>
        <w:rPr>
          <w:rFonts w:hint="eastAsia" w:hAnsi="宋体"/>
        </w:rPr>
        <w:t>层</w:t>
      </w:r>
    </w:p>
    <w:p>
      <w:pPr>
        <w:snapToGrid w:val="0"/>
        <w:spacing w:line="360" w:lineRule="auto"/>
        <w:jc w:val="left"/>
      </w:pPr>
      <w:r>
        <w:rPr>
          <w:rFonts w:hAnsi="宋体"/>
        </w:rPr>
        <w:t>联系人：那</w:t>
      </w:r>
      <w:r>
        <w:rPr>
          <w:rFonts w:hint="eastAsia" w:hAnsi="宋体"/>
        </w:rPr>
        <w:t>朋</w:t>
      </w:r>
    </w:p>
    <w:p>
      <w:pPr>
        <w:snapToGrid w:val="0"/>
        <w:spacing w:line="360" w:lineRule="auto"/>
        <w:jc w:val="left"/>
      </w:pPr>
      <w:r>
        <w:rPr>
          <w:rFonts w:hAnsi="宋体"/>
        </w:rPr>
        <w:t>联系电话：</w:t>
      </w:r>
      <w:r>
        <w:t>1</w:t>
      </w:r>
      <w:r>
        <w:rPr>
          <w:rFonts w:hint="eastAsia"/>
        </w:rPr>
        <w:t>5001003004</w:t>
      </w:r>
    </w:p>
    <w:p>
      <w:pPr>
        <w:snapToGrid w:val="0"/>
        <w:spacing w:line="360" w:lineRule="auto"/>
        <w:jc w:val="left"/>
      </w:pPr>
    </w:p>
    <w:p>
      <w:pPr>
        <w:snapToGrid w:val="0"/>
        <w:spacing w:line="360" w:lineRule="auto"/>
        <w:jc w:val="left"/>
      </w:pPr>
    </w:p>
    <w:p>
      <w:pPr>
        <w:snapToGrid w:val="0"/>
        <w:spacing w:line="360" w:lineRule="auto"/>
        <w:jc w:val="left"/>
      </w:pPr>
      <w:r>
        <w:rPr>
          <w:rFonts w:hAnsi="宋体"/>
        </w:rPr>
        <w:t>乙方将根据本协议条款和条件，向甲方提供</w:t>
      </w:r>
      <w:r>
        <w:rPr>
          <w:rFonts w:hint="eastAsia" w:hAnsi="宋体"/>
        </w:rPr>
        <w:t>约定的</w:t>
      </w:r>
      <w:r>
        <w:rPr>
          <w:rFonts w:hAnsi="宋体"/>
        </w:rPr>
        <w:t>服务。</w:t>
      </w:r>
    </w:p>
    <w:p>
      <w:pPr>
        <w:snapToGrid w:val="0"/>
        <w:spacing w:line="360" w:lineRule="auto"/>
        <w:jc w:val="left"/>
      </w:pPr>
    </w:p>
    <w:p>
      <w:pPr>
        <w:snapToGrid w:val="0"/>
        <w:spacing w:line="360" w:lineRule="auto"/>
        <w:jc w:val="left"/>
      </w:pPr>
      <w:r>
        <w:rPr>
          <w:rFonts w:hAnsi="宋体"/>
        </w:rPr>
        <w:t>因此，双方本着平等互利的原则，通过友好协商，达成如下协议：</w:t>
      </w:r>
    </w:p>
    <w:p>
      <w:pPr>
        <w:snapToGrid w:val="0"/>
        <w:spacing w:line="360" w:lineRule="auto"/>
        <w:jc w:val="left"/>
      </w:pPr>
    </w:p>
    <w:p>
      <w:pPr>
        <w:snapToGrid w:val="0"/>
        <w:spacing w:line="360" w:lineRule="auto"/>
        <w:jc w:val="left"/>
        <w:rPr>
          <w:rFonts w:hAnsi="宋体"/>
          <w:b/>
        </w:rPr>
      </w:pPr>
    </w:p>
    <w:p>
      <w:pPr>
        <w:snapToGrid w:val="0"/>
        <w:spacing w:line="360" w:lineRule="auto"/>
        <w:jc w:val="left"/>
        <w:rPr>
          <w:b/>
        </w:rPr>
      </w:pPr>
      <w:r>
        <w:rPr>
          <w:rFonts w:hAnsi="宋体"/>
          <w:b/>
        </w:rPr>
        <w:t>一、服务项目：</w:t>
      </w:r>
      <w:r>
        <w:rPr>
          <w:b/>
        </w:rPr>
        <w:t>B</w:t>
      </w:r>
      <w:r>
        <w:rPr>
          <w:rFonts w:hint="eastAsia"/>
          <w:b/>
        </w:rPr>
        <w:t xml:space="preserve">MW宝马金融培训 </w:t>
      </w:r>
    </w:p>
    <w:tbl>
      <w:tblPr>
        <w:tblStyle w:val="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4"/>
        <w:gridCol w:w="1984"/>
        <w:gridCol w:w="19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648" w:type="dxa"/>
            <w:vAlign w:val="center"/>
          </w:tcPr>
          <w:p>
            <w:pPr>
              <w:snapToGrid w:val="0"/>
              <w:jc w:val="center"/>
            </w:pPr>
            <w:r>
              <w:rPr>
                <w:rFonts w:hAnsi="宋体"/>
              </w:rPr>
              <w:t>序号</w:t>
            </w:r>
          </w:p>
        </w:tc>
        <w:tc>
          <w:tcPr>
            <w:tcW w:w="2154" w:type="dxa"/>
            <w:vAlign w:val="center"/>
          </w:tcPr>
          <w:p>
            <w:pPr>
              <w:snapToGrid w:val="0"/>
              <w:jc w:val="center"/>
            </w:pPr>
            <w:r>
              <w:rPr>
                <w:rFonts w:hAnsi="宋体"/>
              </w:rPr>
              <w:t>项目名称</w:t>
            </w:r>
          </w:p>
        </w:tc>
        <w:tc>
          <w:tcPr>
            <w:tcW w:w="1984" w:type="dxa"/>
            <w:vAlign w:val="center"/>
          </w:tcPr>
          <w:p>
            <w:pPr>
              <w:snapToGrid w:val="0"/>
              <w:jc w:val="center"/>
            </w:pPr>
            <w:r>
              <w:rPr>
                <w:rFonts w:hAnsi="宋体"/>
              </w:rPr>
              <w:t>项目时间</w:t>
            </w:r>
          </w:p>
        </w:tc>
        <w:tc>
          <w:tcPr>
            <w:tcW w:w="1985" w:type="dxa"/>
            <w:vAlign w:val="center"/>
          </w:tcPr>
          <w:p>
            <w:pPr>
              <w:snapToGrid w:val="0"/>
              <w:jc w:val="center"/>
            </w:pPr>
            <w:r>
              <w:rPr>
                <w:rFonts w:hAnsi="宋体"/>
              </w:rPr>
              <w:t>项目地点</w:t>
            </w:r>
          </w:p>
        </w:tc>
        <w:tc>
          <w:tcPr>
            <w:tcW w:w="2445" w:type="dxa"/>
            <w:vAlign w:val="center"/>
          </w:tcPr>
          <w:p>
            <w:pPr>
              <w:snapToGrid w:val="0"/>
              <w:jc w:val="center"/>
            </w:pPr>
            <w:r>
              <w:rPr>
                <w:rFonts w:hAnsi="宋体"/>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648" w:type="dxa"/>
            <w:vAlign w:val="center"/>
          </w:tcPr>
          <w:p>
            <w:pPr>
              <w:snapToGrid w:val="0"/>
              <w:jc w:val="center"/>
            </w:pPr>
            <w:r>
              <w:t>1</w:t>
            </w:r>
          </w:p>
        </w:tc>
        <w:tc>
          <w:tcPr>
            <w:tcW w:w="2154" w:type="dxa"/>
            <w:vAlign w:val="center"/>
          </w:tcPr>
          <w:p>
            <w:pPr>
              <w:snapToGrid w:val="0"/>
              <w:jc w:val="center"/>
              <w:rPr>
                <w:highlight w:val="yellow"/>
              </w:rPr>
            </w:pPr>
            <w:r>
              <w:rPr>
                <w:b/>
              </w:rPr>
              <w:t>B</w:t>
            </w:r>
            <w:r>
              <w:rPr>
                <w:rFonts w:hint="eastAsia"/>
                <w:b/>
              </w:rPr>
              <w:t>MW宝马金融培训</w:t>
            </w:r>
          </w:p>
        </w:tc>
        <w:tc>
          <w:tcPr>
            <w:tcW w:w="1984" w:type="dxa"/>
            <w:vAlign w:val="center"/>
          </w:tcPr>
          <w:p>
            <w:pPr>
              <w:snapToGrid w:val="0"/>
              <w:jc w:val="center"/>
              <w:rPr>
                <w:highlight w:val="yellow"/>
              </w:rPr>
            </w:pPr>
            <w:r>
              <w:t>20</w:t>
            </w:r>
            <w:r>
              <w:rPr>
                <w:rFonts w:hint="eastAsia"/>
              </w:rPr>
              <w:t>1</w:t>
            </w:r>
            <w:r>
              <w:t>9.</w:t>
            </w:r>
            <w:r>
              <w:rPr>
                <w:rFonts w:hint="eastAsia"/>
              </w:rPr>
              <w:t>9</w:t>
            </w:r>
            <w:r>
              <w:t>.</w:t>
            </w:r>
            <w:r>
              <w:rPr>
                <w:rFonts w:hint="eastAsia"/>
              </w:rPr>
              <w:t>17</w:t>
            </w:r>
          </w:p>
        </w:tc>
        <w:tc>
          <w:tcPr>
            <w:tcW w:w="1985" w:type="dxa"/>
            <w:vAlign w:val="center"/>
          </w:tcPr>
          <w:p>
            <w:pPr>
              <w:snapToGrid w:val="0"/>
              <w:jc w:val="center"/>
              <w:rPr>
                <w:rFonts w:hAnsi="宋体"/>
              </w:rPr>
            </w:pPr>
            <w:r>
              <w:rPr>
                <w:rFonts w:hint="eastAsia"/>
              </w:rPr>
              <w:t>北京市朝阳区霄云路甲26号</w:t>
            </w:r>
          </w:p>
        </w:tc>
        <w:tc>
          <w:tcPr>
            <w:tcW w:w="2445" w:type="dxa"/>
            <w:vAlign w:val="center"/>
          </w:tcPr>
          <w:p>
            <w:pPr>
              <w:snapToGrid w:val="0"/>
              <w:jc w:val="center"/>
            </w:pPr>
            <w:r>
              <w:rPr>
                <w:rFonts w:hint="eastAsia" w:hAnsi="宋体"/>
              </w:rPr>
              <w:t>AV设备</w:t>
            </w:r>
            <w:r>
              <w:rPr>
                <w:rFonts w:hAnsi="宋体"/>
              </w:rPr>
              <w:t>、会务</w:t>
            </w:r>
            <w:r>
              <w:rPr>
                <w:rFonts w:hint="eastAsia" w:hAnsi="宋体"/>
              </w:rPr>
              <w:t>用品等</w:t>
            </w:r>
            <w:r>
              <w:rPr>
                <w:rFonts w:hAnsi="宋体"/>
              </w:rPr>
              <w:t>项目</w:t>
            </w:r>
          </w:p>
        </w:tc>
      </w:tr>
    </w:tbl>
    <w:p>
      <w:pPr>
        <w:snapToGrid w:val="0"/>
        <w:spacing w:line="360" w:lineRule="auto"/>
        <w:jc w:val="left"/>
      </w:pPr>
    </w:p>
    <w:p>
      <w:pPr>
        <w:spacing w:line="360" w:lineRule="auto"/>
        <w:rPr>
          <w:b/>
        </w:rPr>
      </w:pPr>
      <w:r>
        <w:rPr>
          <w:rFonts w:hAnsi="宋体"/>
          <w:b/>
        </w:rPr>
        <w:t>二、计价和付费：</w:t>
      </w:r>
    </w:p>
    <w:p>
      <w:pPr>
        <w:spacing w:line="360" w:lineRule="auto"/>
        <w:ind w:left="538"/>
      </w:pPr>
      <w:r>
        <w:rPr>
          <w:rFonts w:hAnsi="宋体"/>
        </w:rPr>
        <w:t>作为</w:t>
      </w:r>
      <w:r>
        <w:rPr>
          <w:rFonts w:hint="eastAsia" w:hAnsi="宋体"/>
        </w:rPr>
        <w:t>乙</w:t>
      </w:r>
      <w:r>
        <w:rPr>
          <w:rFonts w:hAnsi="宋体"/>
        </w:rPr>
        <w:t>方向</w:t>
      </w:r>
      <w:r>
        <w:rPr>
          <w:rFonts w:hint="eastAsia" w:hAnsi="宋体"/>
        </w:rPr>
        <w:t>甲</w:t>
      </w:r>
      <w:r>
        <w:rPr>
          <w:rFonts w:hAnsi="宋体"/>
        </w:rPr>
        <w:t>方提供的服务的对价，</w:t>
      </w:r>
      <w:r>
        <w:rPr>
          <w:rFonts w:hint="eastAsia" w:hAnsi="宋体"/>
        </w:rPr>
        <w:t>甲</w:t>
      </w:r>
      <w:r>
        <w:rPr>
          <w:rFonts w:hAnsi="宋体"/>
        </w:rPr>
        <w:t>方将向</w:t>
      </w:r>
      <w:r>
        <w:rPr>
          <w:rFonts w:hint="eastAsia" w:hAnsi="宋体"/>
        </w:rPr>
        <w:t>乙</w:t>
      </w:r>
      <w:r>
        <w:rPr>
          <w:rFonts w:hAnsi="宋体"/>
        </w:rPr>
        <w:t>方支付服务费（</w:t>
      </w:r>
      <w:r>
        <w:t>“</w:t>
      </w:r>
      <w:r>
        <w:rPr>
          <w:rFonts w:hint="eastAsia"/>
        </w:rPr>
        <w:t>会议</w:t>
      </w:r>
      <w:r>
        <w:rPr>
          <w:rFonts w:hAnsi="宋体"/>
        </w:rPr>
        <w:t>服务费</w:t>
      </w:r>
      <w:r>
        <w:t>”</w:t>
      </w:r>
      <w:r>
        <w:rPr>
          <w:rFonts w:hAnsi="宋体"/>
        </w:rPr>
        <w:t>）。</w:t>
      </w:r>
      <w:r>
        <w:t xml:space="preserve"> </w:t>
      </w:r>
      <w:r>
        <w:rPr>
          <w:rFonts w:hAnsi="宋体"/>
        </w:rPr>
        <w:t>具体的计价方式和付费条件在本协议附件中详细规定。</w:t>
      </w:r>
    </w:p>
    <w:p>
      <w:pPr>
        <w:numPr>
          <w:ilvl w:val="1"/>
          <w:numId w:val="1"/>
        </w:numPr>
        <w:tabs>
          <w:tab w:val="clear" w:pos="1140"/>
        </w:tabs>
        <w:spacing w:line="360" w:lineRule="auto"/>
        <w:ind w:left="720"/>
        <w:rPr>
          <w:rFonts w:hAnsi="宋体"/>
        </w:rPr>
      </w:pPr>
      <w:r>
        <w:rPr>
          <w:rFonts w:hAnsi="宋体"/>
        </w:rPr>
        <w:t>项目总价为人民币</w:t>
      </w:r>
      <w:r>
        <w:rPr>
          <w:rFonts w:hint="eastAsia"/>
          <w:b/>
          <w:u w:val="single"/>
        </w:rPr>
        <w:t xml:space="preserve"> ￥230000 </w:t>
      </w:r>
      <w:r>
        <w:rPr>
          <w:rFonts w:hAnsi="宋体"/>
          <w:u w:val="single"/>
        </w:rPr>
        <w:t>元</w:t>
      </w:r>
      <w:r>
        <w:rPr>
          <w:rFonts w:hAnsi="宋体"/>
        </w:rPr>
        <w:t>，大写：</w:t>
      </w:r>
      <w:r>
        <w:rPr>
          <w:rFonts w:hint="eastAsia"/>
          <w:b/>
          <w:u w:val="single"/>
        </w:rPr>
        <w:t>贰</w:t>
      </w:r>
      <w:r>
        <w:rPr>
          <w:b/>
          <w:u w:val="single"/>
        </w:rPr>
        <w:t>拾</w:t>
      </w:r>
      <w:r>
        <w:rPr>
          <w:rFonts w:hint="eastAsia"/>
          <w:b/>
          <w:u w:val="single"/>
        </w:rPr>
        <w:t>叁万元 整</w:t>
      </w:r>
      <w:r>
        <w:rPr>
          <w:rFonts w:hAnsi="宋体"/>
        </w:rPr>
        <w:t>。</w:t>
      </w:r>
      <w:r>
        <w:rPr>
          <w:rFonts w:hint="eastAsia" w:hAnsi="宋体"/>
        </w:rPr>
        <w:t>合同签订后，甲方付乙方合同金额30%的预付款，即</w:t>
      </w:r>
      <w:r>
        <w:rPr>
          <w:rFonts w:hAnsi="宋体"/>
        </w:rPr>
        <w:t>人民币</w:t>
      </w:r>
      <w:r>
        <w:rPr>
          <w:rFonts w:hint="eastAsia"/>
          <w:b/>
          <w:u w:val="single"/>
        </w:rPr>
        <w:t xml:space="preserve"> ￥69000 </w:t>
      </w:r>
      <w:r>
        <w:rPr>
          <w:rFonts w:hAnsi="宋体"/>
          <w:u w:val="single"/>
        </w:rPr>
        <w:t>元</w:t>
      </w:r>
      <w:r>
        <w:rPr>
          <w:rFonts w:hAnsi="宋体"/>
        </w:rPr>
        <w:t>，大写：</w:t>
      </w:r>
      <w:r>
        <w:rPr>
          <w:rFonts w:hint="eastAsia"/>
          <w:b/>
          <w:u w:val="single"/>
        </w:rPr>
        <w:t>陆万玖仟元 整</w:t>
      </w:r>
      <w:r>
        <w:rPr>
          <w:rFonts w:hAnsi="宋体"/>
        </w:rPr>
        <w:t>。</w:t>
      </w:r>
      <w:r>
        <w:rPr>
          <w:rFonts w:hint="eastAsia" w:hAnsi="宋体"/>
        </w:rPr>
        <w:t>本次活动结束后</w:t>
      </w:r>
      <w:r>
        <w:rPr>
          <w:rFonts w:hint="eastAsia" w:hAnsi="宋体"/>
          <w:u w:val="single"/>
        </w:rPr>
        <w:t xml:space="preserve"> 90   </w:t>
      </w:r>
      <w:r>
        <w:rPr>
          <w:rFonts w:hint="eastAsia" w:hAnsi="宋体"/>
        </w:rPr>
        <w:t>工作日内，若乙方不存在违约行为、未受到甲方及其客户的投诉或存在重大过失，支付活动尾款70%，即¥</w:t>
      </w:r>
      <w:r>
        <w:rPr>
          <w:rFonts w:hint="eastAsia" w:hAnsi="宋体"/>
          <w:u w:val="single"/>
        </w:rPr>
        <w:t xml:space="preserve">   161000   </w:t>
      </w:r>
      <w:r>
        <w:rPr>
          <w:rFonts w:hint="eastAsia" w:hAnsi="宋体"/>
        </w:rPr>
        <w:t>（大写：人民币</w:t>
      </w:r>
      <w:r>
        <w:rPr>
          <w:rFonts w:hint="eastAsia" w:hAnsi="宋体"/>
          <w:u w:val="single"/>
        </w:rPr>
        <w:t xml:space="preserve">   壹拾陆万壹仟元     </w:t>
      </w:r>
      <w:r>
        <w:rPr>
          <w:rFonts w:hint="eastAsia" w:hAnsi="宋体"/>
        </w:rPr>
        <w:t>圆整）。甲方以银行</w:t>
      </w:r>
      <w:r>
        <w:rPr>
          <w:rFonts w:hint="eastAsia" w:hAnsi="宋体"/>
          <w:u w:val="single"/>
        </w:rPr>
        <w:t>汇款形式</w:t>
      </w:r>
      <w:r>
        <w:rPr>
          <w:rFonts w:hint="eastAsia" w:hAnsi="宋体"/>
        </w:rPr>
        <w:t>支付协议款项，乙方在甲方付款前提供相应的等额的</w:t>
      </w:r>
      <w:r>
        <w:rPr>
          <w:rFonts w:hint="eastAsia" w:hAnsi="宋体"/>
          <w:u w:val="single"/>
        </w:rPr>
        <w:t>增值税专用发票</w:t>
      </w:r>
    </w:p>
    <w:p>
      <w:pPr>
        <w:numPr>
          <w:ilvl w:val="1"/>
          <w:numId w:val="1"/>
        </w:numPr>
        <w:tabs>
          <w:tab w:val="clear" w:pos="1140"/>
        </w:tabs>
        <w:spacing w:line="360" w:lineRule="auto"/>
        <w:ind w:left="720"/>
      </w:pPr>
      <w:r>
        <w:rPr>
          <w:b/>
        </w:rPr>
        <w:t>账户名称：北京睿涵空间文化传播有限公司</w:t>
      </w:r>
    </w:p>
    <w:p>
      <w:pPr>
        <w:jc w:val="left"/>
        <w:rPr>
          <w:b/>
        </w:rPr>
      </w:pPr>
      <w:r>
        <w:rPr>
          <w:b/>
        </w:rPr>
        <w:t xml:space="preserve">    </w:t>
      </w:r>
      <w:r>
        <w:rPr>
          <w:rFonts w:hint="eastAsia"/>
          <w:b/>
        </w:rPr>
        <w:t xml:space="preserve">  </w:t>
      </w:r>
      <w:r>
        <w:rPr>
          <w:b/>
        </w:rPr>
        <w:t>开户银行： 江苏银行股份有限公司北京东三环支行</w:t>
      </w:r>
    </w:p>
    <w:p>
      <w:pPr>
        <w:jc w:val="left"/>
        <w:rPr>
          <w:b/>
        </w:rPr>
      </w:pPr>
      <w:r>
        <w:rPr>
          <w:b/>
        </w:rPr>
        <w:t xml:space="preserve">    </w:t>
      </w:r>
      <w:r>
        <w:rPr>
          <w:rFonts w:hint="eastAsia"/>
          <w:b/>
        </w:rPr>
        <w:t xml:space="preserve">  </w:t>
      </w:r>
      <w:r>
        <w:rPr>
          <w:b/>
        </w:rPr>
        <w:t>帐    号：32340188000035889</w:t>
      </w:r>
    </w:p>
    <w:p>
      <w:pPr>
        <w:snapToGrid w:val="0"/>
        <w:spacing w:line="360" w:lineRule="auto"/>
        <w:jc w:val="left"/>
        <w:rPr>
          <w:b/>
        </w:rPr>
      </w:pPr>
      <w:r>
        <w:rPr>
          <w:rFonts w:hint="eastAsia"/>
          <w:b/>
        </w:rPr>
        <w:t>乙方保证上述账户信息合法、有效，乙方变更账户信息的应提前十日以书面形式通知甲方，否则，由此给甲乙双方造成的全部损失均有乙方承担。</w:t>
      </w:r>
    </w:p>
    <w:p>
      <w:pPr>
        <w:snapToGrid w:val="0"/>
        <w:spacing w:line="360" w:lineRule="auto"/>
        <w:jc w:val="left"/>
        <w:rPr>
          <w:b/>
        </w:rPr>
      </w:pPr>
    </w:p>
    <w:p>
      <w:pPr>
        <w:spacing w:line="360" w:lineRule="auto"/>
        <w:rPr>
          <w:b/>
        </w:rPr>
      </w:pPr>
      <w:r>
        <w:rPr>
          <w:rFonts w:hAnsi="宋体"/>
          <w:b/>
        </w:rPr>
        <w:t>三、合同价格的调整</w:t>
      </w:r>
    </w:p>
    <w:p>
      <w:pPr>
        <w:spacing w:line="360" w:lineRule="auto"/>
        <w:ind w:firstLine="420"/>
      </w:pPr>
      <w:r>
        <w:rPr>
          <w:rFonts w:hAnsi="宋体"/>
        </w:rPr>
        <w:t>发生下列情况之一时，乙方经过甲方认可可以追加费用。</w:t>
      </w:r>
    </w:p>
    <w:p>
      <w:pPr>
        <w:spacing w:line="360" w:lineRule="auto"/>
        <w:ind w:firstLine="420"/>
      </w:pPr>
      <w:r>
        <w:rPr>
          <w:u w:val="single"/>
        </w:rPr>
        <w:t xml:space="preserve">    </w:t>
      </w:r>
      <w:r>
        <w:rPr>
          <w:rFonts w:hAnsi="宋体"/>
        </w:rPr>
        <w:t>工程量变化；</w:t>
      </w:r>
    </w:p>
    <w:p>
      <w:pPr>
        <w:spacing w:line="360" w:lineRule="auto"/>
        <w:ind w:firstLine="420"/>
      </w:pPr>
      <w:r>
        <w:rPr>
          <w:u w:val="single"/>
        </w:rPr>
        <w:t xml:space="preserve">    </w:t>
      </w:r>
      <w:r>
        <w:rPr>
          <w:rFonts w:hint="eastAsia"/>
        </w:rPr>
        <w:t>原定双方确认的</w:t>
      </w:r>
      <w:r>
        <w:rPr>
          <w:rFonts w:hAnsi="宋体"/>
        </w:rPr>
        <w:t>设计</w:t>
      </w:r>
      <w:r>
        <w:rPr>
          <w:rFonts w:hint="eastAsia" w:hAnsi="宋体"/>
        </w:rPr>
        <w:t>方案</w:t>
      </w:r>
      <w:r>
        <w:rPr>
          <w:rFonts w:hAnsi="宋体"/>
        </w:rPr>
        <w:t>变更；</w:t>
      </w:r>
    </w:p>
    <w:p>
      <w:pPr>
        <w:spacing w:line="360" w:lineRule="auto"/>
        <w:ind w:left="861" w:hanging="401"/>
      </w:pPr>
      <w:r>
        <w:rPr>
          <w:u w:val="single"/>
        </w:rPr>
        <w:t xml:space="preserve">    </w:t>
      </w:r>
      <w:r>
        <w:rPr>
          <w:rFonts w:hAnsi="宋体"/>
        </w:rPr>
        <w:t>追加款的具体数额由甲乙双方协商确定，并经过双方的签字确认。制作期间追加款将由甲方与乙方进行费用详细的核算后，并将</w:t>
      </w:r>
      <w:r>
        <w:rPr>
          <w:rFonts w:hint="eastAsia" w:hAnsi="宋体"/>
        </w:rPr>
        <w:t>与</w:t>
      </w:r>
      <w:r>
        <w:rPr>
          <w:rFonts w:hAnsi="宋体"/>
        </w:rPr>
        <w:t>剩余款额一并支付。</w:t>
      </w:r>
    </w:p>
    <w:p>
      <w:pPr>
        <w:spacing w:line="360" w:lineRule="auto"/>
      </w:pPr>
      <w:r>
        <w:t xml:space="preserve">    </w:t>
      </w:r>
      <w:r>
        <w:rPr>
          <w:u w:val="single"/>
        </w:rPr>
        <w:t xml:space="preserve">    </w:t>
      </w:r>
      <w:r>
        <w:rPr>
          <w:rFonts w:hAnsi="宋体"/>
        </w:rPr>
        <w:t>未经过甲方认可的费用，甲方有权拒付。</w:t>
      </w:r>
    </w:p>
    <w:p>
      <w:pPr>
        <w:spacing w:line="360" w:lineRule="auto"/>
        <w:rPr>
          <w:b/>
        </w:rPr>
      </w:pPr>
    </w:p>
    <w:p>
      <w:pPr>
        <w:spacing w:line="360" w:lineRule="auto"/>
        <w:rPr>
          <w:b/>
        </w:rPr>
      </w:pPr>
    </w:p>
    <w:p>
      <w:pPr>
        <w:spacing w:line="360" w:lineRule="auto"/>
        <w:rPr>
          <w:b/>
        </w:rPr>
      </w:pPr>
      <w:r>
        <w:rPr>
          <w:rFonts w:hAnsi="宋体"/>
          <w:b/>
        </w:rPr>
        <w:t>四、陈述与保证：</w:t>
      </w:r>
    </w:p>
    <w:p>
      <w:pPr>
        <w:spacing w:line="360" w:lineRule="auto"/>
      </w:pPr>
      <w:r>
        <w:t xml:space="preserve">    </w:t>
      </w:r>
      <w:r>
        <w:rPr>
          <w:rFonts w:hAnsi="宋体"/>
        </w:rPr>
        <w:t>双方在此分别向对方陈述并保证如下：</w:t>
      </w:r>
      <w:r>
        <w:tab/>
      </w:r>
    </w:p>
    <w:p>
      <w:pPr>
        <w:numPr>
          <w:ilvl w:val="0"/>
          <w:numId w:val="2"/>
        </w:numPr>
        <w:spacing w:line="360" w:lineRule="auto"/>
      </w:pPr>
      <w:r>
        <w:rPr>
          <w:rFonts w:hAnsi="宋体"/>
        </w:rPr>
        <w:t>其是一家根据中国法律注册并有效存续的公司；</w:t>
      </w:r>
      <w:r>
        <w:t xml:space="preserve"> </w:t>
      </w:r>
    </w:p>
    <w:p>
      <w:pPr>
        <w:numPr>
          <w:ilvl w:val="0"/>
          <w:numId w:val="2"/>
        </w:numPr>
        <w:spacing w:line="360" w:lineRule="auto"/>
      </w:pPr>
      <w:r>
        <w:rPr>
          <w:rFonts w:hAnsi="宋体"/>
        </w:rPr>
        <w:t>其是一个独立的法人实体，能够提起诉讼、被诉并可与其它任何方建立有约束力的合同关系；</w:t>
      </w:r>
    </w:p>
    <w:p>
      <w:pPr>
        <w:numPr>
          <w:ilvl w:val="0"/>
          <w:numId w:val="2"/>
        </w:numPr>
        <w:spacing w:line="360" w:lineRule="auto"/>
      </w:pPr>
      <w:r>
        <w:rPr>
          <w:rFonts w:hAnsi="宋体"/>
        </w:rPr>
        <w:t>为签署和履行本协议，其已完成或取得所有必要的和适用的公司内部授权程序、政府许可和批准或第三方同意；</w:t>
      </w:r>
    </w:p>
    <w:p>
      <w:pPr>
        <w:numPr>
          <w:ilvl w:val="0"/>
          <w:numId w:val="2"/>
        </w:numPr>
        <w:spacing w:line="360" w:lineRule="auto"/>
      </w:pPr>
      <w:r>
        <w:rPr>
          <w:rFonts w:hAnsi="宋体"/>
        </w:rPr>
        <w:t>其履行本协议不违反任何适用的法律、其组织文件或其作为协议一方的任何协议；</w:t>
      </w:r>
    </w:p>
    <w:p>
      <w:pPr>
        <w:numPr>
          <w:ilvl w:val="0"/>
          <w:numId w:val="2"/>
        </w:numPr>
        <w:spacing w:line="360" w:lineRule="auto"/>
      </w:pPr>
      <w:r>
        <w:rPr>
          <w:rFonts w:hAnsi="宋体"/>
        </w:rPr>
        <w:t>本协议构成对其合法、有效和约束力的义务，并可根据本协议的条款和条件对其强制执行。</w:t>
      </w:r>
    </w:p>
    <w:p>
      <w:pPr>
        <w:spacing w:line="360" w:lineRule="auto"/>
      </w:pPr>
    </w:p>
    <w:p>
      <w:pPr>
        <w:spacing w:line="360" w:lineRule="auto"/>
        <w:rPr>
          <w:b/>
        </w:rPr>
      </w:pPr>
      <w:r>
        <w:rPr>
          <w:b/>
        </w:rPr>
        <w:t xml:space="preserve">   </w:t>
      </w:r>
      <w:r>
        <w:rPr>
          <w:rFonts w:hint="eastAsia"/>
          <w:b/>
        </w:rPr>
        <w:t>五、</w:t>
      </w:r>
      <w:r>
        <w:rPr>
          <w:rFonts w:hAnsi="宋体"/>
          <w:b/>
        </w:rPr>
        <w:t>甲方</w:t>
      </w:r>
      <w:r>
        <w:rPr>
          <w:rFonts w:hint="eastAsia" w:hAnsi="宋体"/>
          <w:b/>
        </w:rPr>
        <w:t>责任</w:t>
      </w:r>
      <w:r>
        <w:rPr>
          <w:rFonts w:hAnsi="宋体"/>
          <w:b/>
        </w:rPr>
        <w:t>：</w:t>
      </w:r>
    </w:p>
    <w:p>
      <w:pPr>
        <w:numPr>
          <w:ilvl w:val="0"/>
          <w:numId w:val="3"/>
        </w:numPr>
        <w:spacing w:line="360" w:lineRule="auto"/>
      </w:pPr>
      <w:r>
        <w:rPr>
          <w:rFonts w:hAnsi="宋体"/>
        </w:rPr>
        <w:t>配合乙方进行场地施工，负责支付场地管理费、保险费、电费及场馆所收的其它费用。</w:t>
      </w:r>
    </w:p>
    <w:p>
      <w:pPr>
        <w:numPr>
          <w:ilvl w:val="0"/>
          <w:numId w:val="3"/>
        </w:numPr>
        <w:spacing w:line="360" w:lineRule="auto"/>
      </w:pPr>
      <w:r>
        <w:rPr>
          <w:rFonts w:hAnsi="宋体"/>
        </w:rPr>
        <w:t>在设备租用期内，甲方有义务对设备安全负责，由于甲方人为原因造成设备丢失、损坏，应由甲方负责赔偿；对乙方人员进行管理和指挥，但未经乙方同意，不得对乙方设备进行操作和控制，以免影响活动正常进行。</w:t>
      </w:r>
    </w:p>
    <w:p>
      <w:pPr>
        <w:numPr>
          <w:ilvl w:val="0"/>
          <w:numId w:val="3"/>
        </w:numPr>
        <w:spacing w:line="360" w:lineRule="auto"/>
      </w:pPr>
      <w:r>
        <w:rPr>
          <w:rFonts w:hAnsi="宋体"/>
        </w:rPr>
        <w:t>本合同签订后，</w:t>
      </w:r>
      <w:r>
        <w:rPr>
          <w:rFonts w:hint="eastAsia" w:hAnsi="宋体"/>
        </w:rPr>
        <w:t>甲方</w:t>
      </w:r>
      <w:r>
        <w:rPr>
          <w:rFonts w:hAnsi="宋体"/>
        </w:rPr>
        <w:t>如</w:t>
      </w:r>
      <w:r>
        <w:rPr>
          <w:rFonts w:hint="eastAsia" w:hAnsi="宋体"/>
        </w:rPr>
        <w:t>要求</w:t>
      </w:r>
      <w:r>
        <w:rPr>
          <w:rFonts w:hAnsi="宋体"/>
        </w:rPr>
        <w:t>设备增</w:t>
      </w:r>
      <w:r>
        <w:rPr>
          <w:rFonts w:hint="eastAsia" w:hAnsi="宋体"/>
        </w:rPr>
        <w:t>加</w:t>
      </w:r>
      <w:r>
        <w:rPr>
          <w:rFonts w:hAnsi="宋体"/>
        </w:rPr>
        <w:t>，其费用由甲方负责支付，如甲方取消合同或</w:t>
      </w:r>
      <w:r>
        <w:rPr>
          <w:rFonts w:hAnsi="宋体"/>
          <w:color w:val="000000"/>
        </w:rPr>
        <w:t>延付租金时</w:t>
      </w:r>
      <w:r>
        <w:rPr>
          <w:rFonts w:hAnsi="宋体"/>
        </w:rPr>
        <w:t>，甲方应按照实际情况或约定向乙方支付相应数额的违约金。</w:t>
      </w:r>
    </w:p>
    <w:p>
      <w:pPr>
        <w:numPr>
          <w:ilvl w:val="0"/>
          <w:numId w:val="3"/>
        </w:numPr>
        <w:spacing w:line="360" w:lineRule="auto"/>
      </w:pPr>
      <w:r>
        <w:rPr>
          <w:rFonts w:hAnsi="宋体"/>
        </w:rPr>
        <w:t>从项目结束之日起</w:t>
      </w:r>
      <w:r>
        <w:t>3</w:t>
      </w:r>
      <w:r>
        <w:rPr>
          <w:rFonts w:hAnsi="宋体"/>
        </w:rPr>
        <w:t>日内，甲方没有对乙方所提供的设备和服务提出书面异议，即视为乙方已经按照本合同的约定全面履行了义务，甲方也应按照本合同履行义务。</w:t>
      </w:r>
    </w:p>
    <w:p>
      <w:pPr>
        <w:snapToGrid w:val="0"/>
        <w:spacing w:line="360" w:lineRule="auto"/>
        <w:jc w:val="left"/>
        <w:rPr>
          <w:b/>
        </w:rPr>
      </w:pPr>
    </w:p>
    <w:p>
      <w:pPr>
        <w:spacing w:line="360" w:lineRule="auto"/>
        <w:rPr>
          <w:b/>
        </w:rPr>
      </w:pPr>
      <w:r>
        <w:rPr>
          <w:b/>
        </w:rPr>
        <w:t xml:space="preserve">   </w:t>
      </w:r>
      <w:r>
        <w:rPr>
          <w:rFonts w:hint="eastAsia"/>
          <w:b/>
        </w:rPr>
        <w:t>六、</w:t>
      </w:r>
      <w:r>
        <w:rPr>
          <w:rFonts w:hAnsi="宋体"/>
          <w:b/>
        </w:rPr>
        <w:t>乙方</w:t>
      </w:r>
      <w:r>
        <w:rPr>
          <w:rFonts w:hint="eastAsia" w:hAnsi="宋体"/>
          <w:b/>
        </w:rPr>
        <w:t>责任</w:t>
      </w:r>
      <w:r>
        <w:rPr>
          <w:rFonts w:hAnsi="宋体"/>
          <w:b/>
        </w:rPr>
        <w:t>：</w:t>
      </w:r>
    </w:p>
    <w:p>
      <w:pPr>
        <w:numPr>
          <w:ilvl w:val="0"/>
          <w:numId w:val="4"/>
        </w:numPr>
        <w:spacing w:line="360" w:lineRule="auto"/>
      </w:pPr>
      <w:r>
        <w:rPr>
          <w:rFonts w:hAnsi="宋体"/>
        </w:rPr>
        <w:t>乙方应于项目</w:t>
      </w:r>
      <w:r>
        <w:rPr>
          <w:rFonts w:hint="eastAsia" w:hAnsi="宋体"/>
        </w:rPr>
        <w:t>开始</w:t>
      </w:r>
      <w:r>
        <w:rPr>
          <w:rFonts w:hAnsi="宋体"/>
        </w:rPr>
        <w:t>前</w:t>
      </w:r>
      <w:r>
        <w:rPr>
          <w:rFonts w:hint="eastAsia" w:hAnsi="宋体"/>
        </w:rPr>
        <w:t xml:space="preserve"> 15日</w:t>
      </w:r>
      <w:r>
        <w:rPr>
          <w:rFonts w:hAnsi="宋体"/>
        </w:rPr>
        <w:t>向甲方提供</w:t>
      </w:r>
      <w:r>
        <w:rPr>
          <w:rFonts w:hint="eastAsia" w:hAnsi="宋体"/>
        </w:rPr>
        <w:t>项目设计</w:t>
      </w:r>
      <w:r>
        <w:rPr>
          <w:rFonts w:hAnsi="宋体"/>
        </w:rPr>
        <w:t>图稿，经甲方书面确认同意后开始</w:t>
      </w:r>
      <w:r>
        <w:rPr>
          <w:rFonts w:hint="eastAsia" w:hAnsi="宋体"/>
        </w:rPr>
        <w:t>进行</w:t>
      </w:r>
      <w:r>
        <w:rPr>
          <w:rFonts w:hAnsi="宋体"/>
        </w:rPr>
        <w:t>制作。</w:t>
      </w:r>
    </w:p>
    <w:p>
      <w:pPr>
        <w:numPr>
          <w:ilvl w:val="0"/>
          <w:numId w:val="1"/>
        </w:numPr>
        <w:spacing w:line="360" w:lineRule="auto"/>
      </w:pPr>
      <w:r>
        <w:rPr>
          <w:rFonts w:hAnsi="宋体"/>
        </w:rPr>
        <w:t>负责项目工作的执行与质量监控，包括全部提供设备的安装、调试、值班和拆卸工作，除不可抗力外不得以任何理由耽误甲方的活动，乙方应保证设备质量，发现设备有问题</w:t>
      </w:r>
      <w:r>
        <w:rPr>
          <w:rFonts w:hint="eastAsia" w:hAnsi="宋体"/>
        </w:rPr>
        <w:t>或安全隐患</w:t>
      </w:r>
      <w:r>
        <w:rPr>
          <w:rFonts w:hAnsi="宋体"/>
        </w:rPr>
        <w:t>，应负责解决。</w:t>
      </w:r>
      <w:r>
        <w:rPr>
          <w:rFonts w:hint="eastAsia" w:hAnsi="宋体"/>
        </w:rPr>
        <w:t>如因乙方设备问题造成他人人身伤害，乙方应承担责任。</w:t>
      </w:r>
    </w:p>
    <w:p>
      <w:pPr>
        <w:numPr>
          <w:ilvl w:val="0"/>
          <w:numId w:val="1"/>
        </w:numPr>
        <w:spacing w:line="360" w:lineRule="auto"/>
      </w:pPr>
      <w:r>
        <w:rPr>
          <w:rFonts w:hint="eastAsia"/>
        </w:rPr>
        <w:t>乙方负责活动参与人员、演出人员的安全，并自行承担以上人员的所有可能发生的法律责任。</w:t>
      </w:r>
    </w:p>
    <w:p>
      <w:pPr>
        <w:numPr>
          <w:ilvl w:val="0"/>
          <w:numId w:val="1"/>
        </w:numPr>
        <w:spacing w:line="360" w:lineRule="auto"/>
      </w:pPr>
      <w:r>
        <w:rPr>
          <w:rFonts w:hAnsi="宋体"/>
        </w:rPr>
        <w:t>按照甲乙双方的工作会议要求及进度执行工作，如乙方为完善此工作，而进一步提出建议和修改，应征得甲方的同意后方可进行。</w:t>
      </w:r>
    </w:p>
    <w:p>
      <w:pPr>
        <w:numPr>
          <w:ilvl w:val="0"/>
          <w:numId w:val="1"/>
        </w:numPr>
        <w:spacing w:line="360" w:lineRule="auto"/>
      </w:pPr>
      <w:r>
        <w:rPr>
          <w:rFonts w:hAnsi="宋体"/>
        </w:rPr>
        <w:t>项目执行期间，如遇乙方不可控的情况，如自然灾害、停电、非乙方人员触碰、踩踏、遮挡设备等造成活动受影响的，乙方不承担由此造成的相关损失，但有义务尽力避免此类情况的发生。</w:t>
      </w:r>
    </w:p>
    <w:p>
      <w:pPr>
        <w:numPr>
          <w:ilvl w:val="0"/>
          <w:numId w:val="1"/>
        </w:numPr>
        <w:spacing w:line="360" w:lineRule="auto"/>
      </w:pPr>
      <w:r>
        <w:rPr>
          <w:rFonts w:hint="eastAsia" w:hAnsi="宋体"/>
        </w:rPr>
        <w:t>乙方未按本协议约定履行义务的，甲方有权解除本合同并要求乙方赔偿因此给甲方带来的损失。</w:t>
      </w:r>
    </w:p>
    <w:p>
      <w:pPr>
        <w:snapToGrid w:val="0"/>
        <w:spacing w:line="360" w:lineRule="auto"/>
        <w:jc w:val="left"/>
        <w:rPr>
          <w:b/>
        </w:rPr>
      </w:pPr>
    </w:p>
    <w:p>
      <w:pPr>
        <w:snapToGrid w:val="0"/>
        <w:spacing w:line="360" w:lineRule="auto"/>
        <w:jc w:val="left"/>
        <w:rPr>
          <w:b/>
        </w:rPr>
      </w:pPr>
    </w:p>
    <w:p>
      <w:pPr>
        <w:snapToGrid w:val="0"/>
        <w:spacing w:line="360" w:lineRule="auto"/>
        <w:jc w:val="left"/>
        <w:rPr>
          <w:b/>
        </w:rPr>
      </w:pPr>
    </w:p>
    <w:p>
      <w:pPr>
        <w:snapToGrid w:val="0"/>
        <w:spacing w:line="360" w:lineRule="auto"/>
        <w:jc w:val="left"/>
        <w:rPr>
          <w:b/>
        </w:rPr>
      </w:pPr>
    </w:p>
    <w:p>
      <w:pPr>
        <w:spacing w:line="360" w:lineRule="auto"/>
        <w:rPr>
          <w:b/>
        </w:rPr>
      </w:pPr>
      <w:r>
        <w:rPr>
          <w:rFonts w:hint="eastAsia" w:hAnsi="宋体"/>
          <w:b/>
        </w:rPr>
        <w:t>七</w:t>
      </w:r>
      <w:r>
        <w:rPr>
          <w:rFonts w:hAnsi="宋体"/>
          <w:b/>
        </w:rPr>
        <w:t>、工作产品及标识的所有权</w:t>
      </w:r>
    </w:p>
    <w:p>
      <w:pPr>
        <w:numPr>
          <w:ilvl w:val="0"/>
          <w:numId w:val="5"/>
        </w:numPr>
        <w:spacing w:line="360" w:lineRule="auto"/>
      </w:pPr>
      <w:r>
        <w:rPr>
          <w:rFonts w:hAnsi="宋体"/>
        </w:rPr>
        <w:t>所有工作产品，包括但不限于由服务中产生的或与服务相关的乙方制造、构思或开发的设计、美术品、软件、手册、指南、产品、程序、绘图、记录、文件、信息、材料、发现和发明（合称</w:t>
      </w:r>
      <w:r>
        <w:t>“</w:t>
      </w:r>
      <w:r>
        <w:rPr>
          <w:rFonts w:hAnsi="宋体"/>
        </w:rPr>
        <w:t>工作产品</w:t>
      </w:r>
      <w:r>
        <w:t>”</w:t>
      </w:r>
      <w:r>
        <w:rPr>
          <w:rFonts w:hAnsi="宋体"/>
        </w:rPr>
        <w:t>），均应属于乙方的财产。乙方在此通过签署本协议，无条件地并不可撤销地将该产品所有的权利、所有权和利益转移、转让给甲方。</w:t>
      </w:r>
    </w:p>
    <w:p>
      <w:pPr>
        <w:numPr>
          <w:ilvl w:val="0"/>
          <w:numId w:val="5"/>
        </w:numPr>
        <w:spacing w:line="360" w:lineRule="auto"/>
      </w:pPr>
      <w:r>
        <w:rPr>
          <w:rFonts w:hAnsi="宋体"/>
        </w:rPr>
        <w:t>乙方保证工作产品不侵犯或不构成对任何第三方的知识产权的侵犯或不正当使用。如果任何第三方对工作产品的权利或利益提出主张，或声称工作产品侵犯或不正当使用其知识产权而起诉乙方</w:t>
      </w:r>
      <w:r>
        <w:rPr>
          <w:rFonts w:hint="eastAsia" w:hAnsi="宋体"/>
        </w:rPr>
        <w:t>或甲方</w:t>
      </w:r>
      <w:r>
        <w:rPr>
          <w:rFonts w:hAnsi="宋体"/>
        </w:rPr>
        <w:t>，乙方应当就上述主张和诉讼对甲方进行赔偿、为甲方辩护并保证甲方不受损害。</w:t>
      </w:r>
    </w:p>
    <w:p>
      <w:pPr>
        <w:numPr>
          <w:ilvl w:val="0"/>
          <w:numId w:val="5"/>
        </w:numPr>
        <w:spacing w:line="360" w:lineRule="auto"/>
      </w:pPr>
      <w:r>
        <w:rPr>
          <w:rFonts w:hAnsi="宋体"/>
        </w:rPr>
        <w:t>乙方没有被许可或授权使用甲方的商标、商号和标志（合称</w:t>
      </w:r>
      <w:r>
        <w:t>“</w:t>
      </w:r>
      <w:r>
        <w:rPr>
          <w:rFonts w:hAnsi="宋体"/>
        </w:rPr>
        <w:t>标识</w:t>
      </w:r>
      <w:r>
        <w:t>”</w:t>
      </w:r>
      <w:r>
        <w:rPr>
          <w:rFonts w:hAnsi="宋体"/>
        </w:rPr>
        <w:t>），但该等标识构成与乙方提供的服务相关的工作产品不可分割的一部分的情形除外。如乙方需获得任何标识的全面并正式的许可，应当通过双方另行签订的许可协议进行。</w:t>
      </w:r>
    </w:p>
    <w:p>
      <w:pPr>
        <w:numPr>
          <w:ilvl w:val="0"/>
          <w:numId w:val="5"/>
        </w:numPr>
        <w:spacing w:line="360" w:lineRule="auto"/>
      </w:pPr>
      <w:r>
        <w:rPr>
          <w:rFonts w:hAnsi="宋体"/>
        </w:rPr>
        <w:t>应甲方合理要求，乙方应向甲方提供所有必要的协助，以帮助甲方保护其对工作产品以及工作产品中使用的标识享有的权利和利益以及就上述权利或利益进行辩护。</w:t>
      </w:r>
    </w:p>
    <w:p>
      <w:pPr>
        <w:spacing w:line="360" w:lineRule="auto"/>
        <w:rPr>
          <w:b/>
        </w:rPr>
      </w:pPr>
    </w:p>
    <w:p>
      <w:pPr>
        <w:spacing w:line="360" w:lineRule="auto"/>
        <w:rPr>
          <w:b/>
        </w:rPr>
      </w:pPr>
      <w:r>
        <w:rPr>
          <w:rFonts w:hint="eastAsia" w:hAnsi="宋体"/>
          <w:b/>
        </w:rPr>
        <w:t>八</w:t>
      </w:r>
      <w:r>
        <w:rPr>
          <w:rFonts w:hAnsi="宋体"/>
          <w:b/>
        </w:rPr>
        <w:t>、适用法律的遵守</w:t>
      </w:r>
    </w:p>
    <w:p>
      <w:pPr>
        <w:snapToGrid w:val="0"/>
        <w:spacing w:line="360" w:lineRule="auto"/>
        <w:ind w:left="539"/>
        <w:jc w:val="left"/>
      </w:pPr>
      <w:r>
        <w:rPr>
          <w:rFonts w:hAnsi="宋体"/>
        </w:rPr>
        <w:t>乙方自身并代表其关联方，陈述、保证并承诺如下：</w:t>
      </w:r>
    </w:p>
    <w:p>
      <w:pPr>
        <w:numPr>
          <w:ilvl w:val="0"/>
          <w:numId w:val="6"/>
        </w:numPr>
        <w:snapToGrid w:val="0"/>
        <w:spacing w:line="360" w:lineRule="auto"/>
        <w:ind w:left="959"/>
        <w:jc w:val="left"/>
      </w:pPr>
      <w:r>
        <w:rPr>
          <w:rFonts w:hAnsi="宋体"/>
        </w:rPr>
        <w:t>其已遵守并将继续遵守所有的适用法律，且尽其所知，其并未采取并将不会采取或未能采取任何行动，这些作为或不作为可能导致其自身、甲方根据适用法律承担责任；</w:t>
      </w:r>
    </w:p>
    <w:p>
      <w:pPr>
        <w:numPr>
          <w:ilvl w:val="0"/>
          <w:numId w:val="6"/>
        </w:numPr>
        <w:snapToGrid w:val="0"/>
        <w:spacing w:line="360" w:lineRule="auto"/>
        <w:ind w:left="959"/>
        <w:jc w:val="left"/>
      </w:pPr>
      <w:r>
        <w:rPr>
          <w:rFonts w:hAnsi="宋体"/>
        </w:rPr>
        <w:t>尽其所知，其自身或及任何关联方均未已经直接或间接地向任何政府官员或为该等官员的利益提供、支付、给予或贷款，或者已经承诺支付、给予或贷款，或者将提供、支付、给予或贷款，或将承诺给予支付或贷款金钱或任何其它有价值物，以达到下述的贿赂目的：</w:t>
      </w:r>
      <w:r>
        <w:t>(a)</w:t>
      </w:r>
      <w:r>
        <w:rPr>
          <w:rFonts w:hAnsi="宋体"/>
        </w:rPr>
        <w:t>影响该政府官员以其职务身份所作的任何行为或决定；</w:t>
      </w:r>
      <w:r>
        <w:t>(b)</w:t>
      </w:r>
      <w:r>
        <w:rPr>
          <w:rFonts w:hAnsi="宋体"/>
        </w:rPr>
        <w:t>诱使该等政府官员违反其法定职责作为或不作为；</w:t>
      </w:r>
      <w:r>
        <w:t>(c)</w:t>
      </w:r>
      <w:r>
        <w:rPr>
          <w:rFonts w:hAnsi="宋体"/>
        </w:rPr>
        <w:t>取得任何不当利益，或者</w:t>
      </w:r>
      <w:r>
        <w:t xml:space="preserve">(d) </w:t>
      </w:r>
      <w:r>
        <w:rPr>
          <w:rFonts w:hAnsi="宋体"/>
        </w:rPr>
        <w:t>诱使该等政府官员利用其对政府实体的影响力以影响或改变该政府实体的任何行为或决定，从而为使其自身或协议另一方或任何</w:t>
      </w:r>
      <w:r>
        <w:rPr>
          <w:rFonts w:hint="eastAsia" w:hAnsi="宋体"/>
        </w:rPr>
        <w:t>甲方</w:t>
      </w:r>
      <w:r>
        <w:rPr>
          <w:rFonts w:hAnsi="宋体"/>
        </w:rPr>
        <w:t>公司成员获取业务；</w:t>
      </w:r>
    </w:p>
    <w:p>
      <w:pPr>
        <w:numPr>
          <w:ilvl w:val="0"/>
          <w:numId w:val="6"/>
        </w:numPr>
        <w:snapToGrid w:val="0"/>
        <w:spacing w:line="360" w:lineRule="auto"/>
        <w:ind w:left="959"/>
        <w:jc w:val="left"/>
      </w:pPr>
      <w:r>
        <w:rPr>
          <w:rFonts w:hAnsi="宋体"/>
        </w:rPr>
        <w:t>其自身或其任何关联方均不是且将来不会成为一个政府实体或政府官员，该等政府实体或政府官员的职务职责包括就向该方或协议另一方或任何甲方公司成员获取业务作出决定、或对能够为该方或协议另一方或任何甲方获取业务的政府官员进行监督、控制或指挥；</w:t>
      </w:r>
    </w:p>
    <w:p>
      <w:pPr>
        <w:numPr>
          <w:ilvl w:val="0"/>
          <w:numId w:val="6"/>
        </w:numPr>
        <w:snapToGrid w:val="0"/>
        <w:spacing w:line="360" w:lineRule="auto"/>
        <w:ind w:left="959"/>
        <w:jc w:val="left"/>
      </w:pPr>
      <w:r>
        <w:rPr>
          <w:rFonts w:hAnsi="宋体"/>
        </w:rPr>
        <w:t>在任何情况下，甲方无义务根据本协议作为或不作为，如甲方认为该作为或不作为将导致其自身或任何甲方公司成员违反适用法律。在任何情况下，任何一方无需为其认为为遵守适用法律所必要的作为或不作为承担责任。</w:t>
      </w:r>
    </w:p>
    <w:p>
      <w:pPr>
        <w:numPr>
          <w:ilvl w:val="0"/>
          <w:numId w:val="6"/>
        </w:numPr>
        <w:snapToGrid w:val="0"/>
        <w:spacing w:line="360" w:lineRule="auto"/>
        <w:ind w:left="959"/>
        <w:jc w:val="left"/>
      </w:pPr>
      <w:r>
        <w:rPr>
          <w:rFonts w:hAnsi="宋体"/>
        </w:rPr>
        <w:t>如果乙方或其任何关联方违反了本第</w:t>
      </w:r>
      <w:r>
        <w:t>6</w:t>
      </w:r>
      <w:r>
        <w:rPr>
          <w:rFonts w:hAnsi="宋体"/>
        </w:rPr>
        <w:t>条项下的陈述、保证与承诺，该等陈述、保证与承诺均应视为重要的且在本协议有效期内持续作出，</w:t>
      </w:r>
      <w:r>
        <w:t xml:space="preserve"> </w:t>
      </w:r>
    </w:p>
    <w:p>
      <w:pPr>
        <w:snapToGrid w:val="0"/>
        <w:spacing w:line="240" w:lineRule="exact"/>
        <w:ind w:left="540"/>
      </w:pPr>
    </w:p>
    <w:p>
      <w:pPr>
        <w:snapToGrid w:val="0"/>
        <w:spacing w:line="360" w:lineRule="auto"/>
        <w:ind w:left="539"/>
        <w:jc w:val="left"/>
      </w:pPr>
      <w:r>
        <w:rPr>
          <w:rFonts w:hAnsi="宋体"/>
        </w:rPr>
        <w:t>本第</w:t>
      </w:r>
      <w:r>
        <w:t>6</w:t>
      </w:r>
      <w:r>
        <w:rPr>
          <w:rFonts w:hAnsi="宋体"/>
        </w:rPr>
        <w:t>条的目的，下述术语的含义如下：</w:t>
      </w:r>
    </w:p>
    <w:p>
      <w:pPr>
        <w:snapToGrid w:val="0"/>
        <w:spacing w:line="240" w:lineRule="exact"/>
        <w:ind w:left="540"/>
        <w:jc w:val="left"/>
      </w:pPr>
    </w:p>
    <w:p>
      <w:pPr>
        <w:numPr>
          <w:ilvl w:val="0"/>
          <w:numId w:val="6"/>
        </w:numPr>
        <w:snapToGrid w:val="0"/>
        <w:spacing w:line="360" w:lineRule="auto"/>
        <w:ind w:left="959"/>
        <w:jc w:val="left"/>
      </w:pPr>
      <w:r>
        <w:t>“</w:t>
      </w:r>
      <w:r>
        <w:rPr>
          <w:rFonts w:hAnsi="宋体"/>
        </w:rPr>
        <w:t>适用法律</w:t>
      </w:r>
      <w:r>
        <w:t>”</w:t>
      </w:r>
      <w:r>
        <w:rPr>
          <w:rFonts w:hAnsi="宋体"/>
        </w:rPr>
        <w:t>指协议各方、协议各方的关联方、或其股东应遵守的包括中国法律法规在内的有关反腐败的法律法规，以及适用于协议各方或其任何关联方与本协议相关的任何行为，或适用于本协议各方或甲方公司另一成员所涉及的其它任何其它业务事项的所有其它法律、法规、规定、命令、法令或具有法律效力的其它指令及对上述规范性文件可能不时作出的修订；</w:t>
      </w:r>
    </w:p>
    <w:p>
      <w:pPr>
        <w:numPr>
          <w:ilvl w:val="0"/>
          <w:numId w:val="6"/>
        </w:numPr>
        <w:snapToGrid w:val="0"/>
        <w:spacing w:line="360" w:lineRule="auto"/>
        <w:ind w:left="959"/>
        <w:jc w:val="left"/>
      </w:pPr>
      <w:r>
        <w:t>“</w:t>
      </w:r>
      <w:r>
        <w:rPr>
          <w:rFonts w:hAnsi="宋体"/>
        </w:rPr>
        <w:t>关联方</w:t>
      </w:r>
      <w:r>
        <w:t>”</w:t>
      </w:r>
      <w:r>
        <w:rPr>
          <w:rFonts w:hAnsi="宋体"/>
        </w:rPr>
        <w:t>指各方的管理人员、董事或雇员，或代表该方或为该方利益行事的代理、股东、负责人或所有人</w:t>
      </w:r>
    </w:p>
    <w:p>
      <w:pPr>
        <w:numPr>
          <w:ilvl w:val="0"/>
          <w:numId w:val="6"/>
        </w:numPr>
        <w:snapToGrid w:val="0"/>
        <w:spacing w:line="360" w:lineRule="auto"/>
        <w:ind w:left="959"/>
        <w:jc w:val="left"/>
      </w:pPr>
      <w:r>
        <w:t>“</w:t>
      </w:r>
      <w:r>
        <w:rPr>
          <w:rFonts w:hAnsi="宋体"/>
        </w:rPr>
        <w:t>甲方公司成员</w:t>
      </w:r>
      <w:r>
        <w:t>”</w:t>
      </w:r>
      <w:r>
        <w:rPr>
          <w:rFonts w:hAnsi="宋体"/>
        </w:rPr>
        <w:t>是指甲方直接或者间接的母公司、关联机构或者子公司；</w:t>
      </w:r>
    </w:p>
    <w:p>
      <w:pPr>
        <w:numPr>
          <w:ilvl w:val="0"/>
          <w:numId w:val="6"/>
        </w:numPr>
        <w:snapToGrid w:val="0"/>
        <w:spacing w:line="360" w:lineRule="auto"/>
        <w:ind w:left="959"/>
        <w:jc w:val="left"/>
      </w:pPr>
      <w:r>
        <w:t>“</w:t>
      </w:r>
      <w:r>
        <w:rPr>
          <w:rFonts w:hAnsi="宋体"/>
        </w:rPr>
        <w:t>政府实体</w:t>
      </w:r>
      <w:r>
        <w:t>”</w:t>
      </w:r>
      <w:r>
        <w:rPr>
          <w:rFonts w:hAnsi="宋体"/>
        </w:rPr>
        <w:t>指政府或其政府的任何部门、机构或执行部门（包括由政府控制的任何公司或其它实体）、政党或者政府国际组织；及</w:t>
      </w:r>
    </w:p>
    <w:p>
      <w:pPr>
        <w:numPr>
          <w:ilvl w:val="0"/>
          <w:numId w:val="6"/>
        </w:numPr>
        <w:snapToGrid w:val="0"/>
        <w:spacing w:line="360" w:lineRule="auto"/>
        <w:ind w:left="959"/>
        <w:jc w:val="left"/>
      </w:pPr>
      <w:r>
        <w:t>“</w:t>
      </w:r>
      <w:r>
        <w:rPr>
          <w:rFonts w:hAnsi="宋体"/>
        </w:rPr>
        <w:t>政府官员</w:t>
      </w:r>
      <w:r>
        <w:t>”</w:t>
      </w:r>
      <w:r>
        <w:rPr>
          <w:rFonts w:hAnsi="宋体"/>
        </w:rPr>
        <w:t>指政府实体的任何官员、雇员或其它官员（包括他们的任何直系家庭成员），以职务身份为政府实体行事的任何个人或行政职务的任何候选人。</w:t>
      </w:r>
    </w:p>
    <w:p>
      <w:pPr>
        <w:snapToGrid w:val="0"/>
        <w:spacing w:line="360" w:lineRule="auto"/>
        <w:jc w:val="left"/>
      </w:pPr>
    </w:p>
    <w:p>
      <w:pPr>
        <w:spacing w:line="360" w:lineRule="auto"/>
        <w:rPr>
          <w:b/>
        </w:rPr>
      </w:pPr>
      <w:r>
        <w:rPr>
          <w:rFonts w:hint="eastAsia" w:hAnsi="宋体"/>
          <w:b/>
        </w:rPr>
        <w:t>九</w:t>
      </w:r>
      <w:r>
        <w:rPr>
          <w:rFonts w:hAnsi="宋体"/>
          <w:b/>
        </w:rPr>
        <w:t>、违约和赔偿：</w:t>
      </w:r>
    </w:p>
    <w:p>
      <w:pPr>
        <w:numPr>
          <w:ilvl w:val="0"/>
          <w:numId w:val="7"/>
        </w:numPr>
        <w:spacing w:line="360" w:lineRule="auto"/>
        <w:ind w:left="900" w:hanging="360"/>
        <w:rPr>
          <w:b/>
        </w:rPr>
      </w:pPr>
      <w:r>
        <w:rPr>
          <w:rFonts w:hAnsi="宋体"/>
        </w:rPr>
        <w:t>除本协议另有规定外，本协议任何一方未履行本协议项下的义务，另一方可以向违约的一方发出书面通知，要求其履行义务或采取适当的补救措施以迅速有效地避免或减小损失或损害，并恢复履行本协议。除此之外，违约的一方还应赔偿因其违约行为给守约方造成的所有直接损失和损害；</w:t>
      </w:r>
    </w:p>
    <w:p>
      <w:pPr>
        <w:numPr>
          <w:ilvl w:val="0"/>
          <w:numId w:val="7"/>
        </w:numPr>
        <w:spacing w:line="360" w:lineRule="auto"/>
        <w:ind w:left="900" w:hanging="360"/>
      </w:pPr>
      <w:r>
        <w:rPr>
          <w:rFonts w:hAnsi="宋体"/>
        </w:rPr>
        <w:t>如果双方均违反本协议，则双方应根据各自违约的严重程度确定应向对方支付的赔偿数额。</w:t>
      </w:r>
    </w:p>
    <w:p>
      <w:pPr>
        <w:numPr>
          <w:ilvl w:val="0"/>
          <w:numId w:val="7"/>
        </w:numPr>
        <w:spacing w:line="360" w:lineRule="auto"/>
      </w:pPr>
      <w:r>
        <w:rPr>
          <w:rFonts w:hAnsi="宋体"/>
        </w:rPr>
        <w:t>本合同一经双方签字，即具有法律效力。甲乙双方应当信守合同，如一方违约，应赔偿对方经济损失。</w:t>
      </w:r>
    </w:p>
    <w:p>
      <w:pPr>
        <w:numPr>
          <w:ilvl w:val="1"/>
          <w:numId w:val="7"/>
        </w:numPr>
        <w:spacing w:line="360" w:lineRule="auto"/>
      </w:pPr>
      <w:r>
        <w:rPr>
          <w:rFonts w:hAnsi="宋体"/>
        </w:rPr>
        <w:t>甲方未能按约定日期支付</w:t>
      </w:r>
      <w:r>
        <w:rPr>
          <w:rFonts w:hint="eastAsia" w:hAnsi="宋体"/>
        </w:rPr>
        <w:t>项目</w:t>
      </w:r>
      <w:r>
        <w:rPr>
          <w:rFonts w:hAnsi="宋体"/>
        </w:rPr>
        <w:t>预付款时，乙方有权终止施工，并追究甲方的违约责任。</w:t>
      </w:r>
    </w:p>
    <w:p>
      <w:pPr>
        <w:numPr>
          <w:ilvl w:val="1"/>
          <w:numId w:val="7"/>
        </w:numPr>
        <w:spacing w:line="360" w:lineRule="auto"/>
      </w:pPr>
      <w:r>
        <w:rPr>
          <w:rFonts w:hAnsi="宋体"/>
        </w:rPr>
        <w:t>甲方未能按约定日期支付</w:t>
      </w:r>
      <w:r>
        <w:rPr>
          <w:rFonts w:hint="eastAsia" w:hAnsi="宋体"/>
        </w:rPr>
        <w:t>项目</w:t>
      </w:r>
      <w:r>
        <w:rPr>
          <w:rFonts w:hAnsi="宋体"/>
        </w:rPr>
        <w:t>剩余款时，应按</w:t>
      </w:r>
      <w:r>
        <w:rPr>
          <w:rFonts w:hint="eastAsia" w:hAnsi="宋体"/>
        </w:rPr>
        <w:t>项目剩余款项的千</w:t>
      </w:r>
      <w:r>
        <w:rPr>
          <w:rFonts w:hAnsi="宋体"/>
        </w:rPr>
        <w:t>分之</w:t>
      </w:r>
      <w:r>
        <w:rPr>
          <w:u w:val="single"/>
        </w:rPr>
        <w:t xml:space="preserve"> </w:t>
      </w:r>
      <w:r>
        <w:rPr>
          <w:rFonts w:hint="eastAsia"/>
          <w:u w:val="single"/>
        </w:rPr>
        <w:t>3</w:t>
      </w:r>
      <w:r>
        <w:rPr>
          <w:rFonts w:hAnsi="宋体"/>
        </w:rPr>
        <w:t>支付违约金。</w:t>
      </w:r>
    </w:p>
    <w:p>
      <w:pPr>
        <w:numPr>
          <w:ilvl w:val="1"/>
          <w:numId w:val="7"/>
        </w:numPr>
        <w:spacing w:line="360" w:lineRule="auto"/>
      </w:pPr>
      <w:r>
        <w:rPr>
          <w:rFonts w:hAnsi="宋体"/>
        </w:rPr>
        <w:t>若因乙方原因逾期交工造成甲方的此次活动无法</w:t>
      </w:r>
      <w:r>
        <w:rPr>
          <w:rFonts w:hint="eastAsia" w:hAnsi="宋体"/>
        </w:rPr>
        <w:t>开展</w:t>
      </w:r>
      <w:r>
        <w:rPr>
          <w:rFonts w:hAnsi="宋体"/>
        </w:rPr>
        <w:t>及对外开放，乙方应当承担违约责任。违约金的数额为：延迟交付一日，按照本合同总价款的</w:t>
      </w:r>
      <w:r>
        <w:rPr>
          <w:u w:val="single"/>
        </w:rPr>
        <w:t xml:space="preserve"> </w:t>
      </w:r>
      <w:r>
        <w:rPr>
          <w:rFonts w:hint="eastAsia"/>
          <w:u w:val="single"/>
        </w:rPr>
        <w:t>3</w:t>
      </w:r>
      <w:r>
        <w:rPr>
          <w:u w:val="single"/>
        </w:rPr>
        <w:t xml:space="preserve"> </w:t>
      </w:r>
      <w:r>
        <w:rPr>
          <w:rFonts w:hint="eastAsia" w:ascii="宋体" w:hAnsi="宋体"/>
        </w:rPr>
        <w:t>‰</w:t>
      </w:r>
      <w:r>
        <w:rPr>
          <w:rFonts w:hAnsi="宋体"/>
        </w:rPr>
        <w:t>支付违约金</w:t>
      </w:r>
      <w:r>
        <w:rPr>
          <w:rFonts w:hint="eastAsia" w:hAnsi="宋体"/>
        </w:rPr>
        <w:t>。并承担由此导致甲方的相应损失。</w:t>
      </w:r>
    </w:p>
    <w:p>
      <w:pPr>
        <w:snapToGrid w:val="0"/>
        <w:spacing w:line="360" w:lineRule="auto"/>
        <w:jc w:val="left"/>
      </w:pPr>
    </w:p>
    <w:p>
      <w:pPr>
        <w:spacing w:line="360" w:lineRule="auto"/>
        <w:rPr>
          <w:b/>
        </w:rPr>
      </w:pPr>
      <w:r>
        <w:rPr>
          <w:rFonts w:hint="eastAsia" w:hAnsi="宋体"/>
          <w:b/>
        </w:rPr>
        <w:t>十</w:t>
      </w:r>
      <w:r>
        <w:rPr>
          <w:rFonts w:hAnsi="宋体"/>
          <w:b/>
        </w:rPr>
        <w:t>、保密条款：</w:t>
      </w:r>
    </w:p>
    <w:p>
      <w:pPr>
        <w:numPr>
          <w:ilvl w:val="0"/>
          <w:numId w:val="8"/>
        </w:numPr>
        <w:snapToGrid w:val="0"/>
        <w:spacing w:line="360" w:lineRule="auto"/>
      </w:pPr>
      <w:r>
        <w:rPr>
          <w:rFonts w:hAnsi="宋体"/>
        </w:rPr>
        <w:t>双方承认，为促进并配合双方已达成的上述协议的履行，</w:t>
      </w:r>
      <w:r>
        <w:rPr>
          <w:rFonts w:hint="eastAsia" w:hAnsi="宋体"/>
        </w:rPr>
        <w:t>双</w:t>
      </w:r>
      <w:r>
        <w:rPr>
          <w:rFonts w:hAnsi="宋体"/>
        </w:rPr>
        <w:t>方或其关联机构（合称</w:t>
      </w:r>
      <w:r>
        <w:t>“</w:t>
      </w:r>
      <w:r>
        <w:rPr>
          <w:rFonts w:hAnsi="宋体"/>
        </w:rPr>
        <w:t>披露方</w:t>
      </w:r>
      <w:r>
        <w:t>”</w:t>
      </w:r>
      <w:r>
        <w:rPr>
          <w:rFonts w:hAnsi="宋体"/>
        </w:rPr>
        <w:t>）可能向</w:t>
      </w:r>
      <w:r>
        <w:rPr>
          <w:rFonts w:hint="eastAsia" w:hAnsi="宋体"/>
        </w:rPr>
        <w:t>对</w:t>
      </w:r>
      <w:r>
        <w:rPr>
          <w:rFonts w:hAnsi="宋体"/>
        </w:rPr>
        <w:t>方披露为披露方所有且对披露方有价值的、形式各样的专有的和机密的信息或商业秘密。为本协议之目的，此等信息或商业秘密（包括所有在本协议签署之日前提供的该等信息，合称</w:t>
      </w:r>
      <w:r>
        <w:t>“</w:t>
      </w:r>
      <w:r>
        <w:rPr>
          <w:rFonts w:hAnsi="宋体"/>
        </w:rPr>
        <w:t>保密信息</w:t>
      </w:r>
      <w:r>
        <w:t>”</w:t>
      </w:r>
      <w:r>
        <w:rPr>
          <w:rFonts w:hAnsi="宋体"/>
        </w:rPr>
        <w:t>）可包括但不限于下述：有关披露方或为披露方所掌握并负有保密义务的第三方的过去、现在或将来的研究、开发或经营计划、财务信息、买方、卖方或合作方信息、知识产权、经营活动或制度有关的信息</w:t>
      </w:r>
      <w:r>
        <w:t>(</w:t>
      </w:r>
      <w:r>
        <w:rPr>
          <w:rFonts w:hAnsi="宋体"/>
        </w:rPr>
        <w:t>包括但不限于以有形或无形形式表现的研究或报告、软件、备忘录、草图、图样、设计、数据、专有技术及其它信息</w:t>
      </w:r>
      <w:r>
        <w:t xml:space="preserve">), </w:t>
      </w:r>
      <w:r>
        <w:rPr>
          <w:rFonts w:hAnsi="宋体"/>
        </w:rPr>
        <w:t>而不论其载体为何种形式。上述所有信息不管其在被披露时或被披露后是否被标明为是秘密的</w:t>
      </w:r>
      <w:r>
        <w:t>,</w:t>
      </w:r>
      <w:r>
        <w:rPr>
          <w:rFonts w:hAnsi="宋体"/>
        </w:rPr>
        <w:t>亦不论是以书面（不管以何种格式）或口头形式作出，连同其任何备份、复印件或摘要（不管以何种形式存在及由何人以何种形式制作或编缉），均应视为保密信息。</w:t>
      </w:r>
    </w:p>
    <w:p>
      <w:pPr>
        <w:numPr>
          <w:ilvl w:val="0"/>
          <w:numId w:val="8"/>
        </w:numPr>
        <w:snapToGrid w:val="0"/>
        <w:spacing w:line="360" w:lineRule="auto"/>
      </w:pPr>
      <w:r>
        <w:rPr>
          <w:rFonts w:hAnsi="宋体"/>
        </w:rPr>
        <w:t>所有保密信息应继续为披露该信息的披露方所有。乙方不得为向甲方提供服务以外的目的使用任何保密信息，并应对该等保密信息保密，以及采取所有合理的预防措施来防止未经授权向第三方或为本协议之目的无需直接接触该等保密信息的雇员披露。</w:t>
      </w:r>
    </w:p>
    <w:p>
      <w:pPr>
        <w:numPr>
          <w:ilvl w:val="0"/>
          <w:numId w:val="8"/>
        </w:numPr>
        <w:snapToGrid w:val="0"/>
        <w:spacing w:line="360" w:lineRule="auto"/>
      </w:pPr>
      <w:r>
        <w:rPr>
          <w:rFonts w:hAnsi="宋体"/>
        </w:rPr>
        <w:t>在本协议终止或期满时，应甲方要求，乙方应向甲方交还或销毁任何载有保密信息的文件</w:t>
      </w:r>
      <w:r>
        <w:rPr>
          <w:rFonts w:hint="eastAsia" w:hAnsi="宋体"/>
        </w:rPr>
        <w:t>，</w:t>
      </w:r>
      <w:r>
        <w:rPr>
          <w:rFonts w:hAnsi="宋体"/>
        </w:rPr>
        <w:t>并应停止继续使用该等保密信息。乙方仅可向需要接触保密信息的雇员、代理或专业顾问披露保密信息，并应促使他们遵守与本协议项下相同的保密义务。</w:t>
      </w:r>
    </w:p>
    <w:p>
      <w:pPr>
        <w:numPr>
          <w:ilvl w:val="0"/>
          <w:numId w:val="8"/>
        </w:numPr>
        <w:snapToGrid w:val="0"/>
        <w:spacing w:line="360" w:lineRule="auto"/>
      </w:pPr>
      <w:r>
        <w:rPr>
          <w:rFonts w:hAnsi="宋体"/>
        </w:rPr>
        <w:t>本保密条款不适用于下述信息：</w:t>
      </w:r>
    </w:p>
    <w:p>
      <w:pPr>
        <w:numPr>
          <w:ilvl w:val="0"/>
          <w:numId w:val="9"/>
        </w:numPr>
        <w:snapToGrid w:val="0"/>
        <w:spacing w:line="360" w:lineRule="auto"/>
        <w:ind w:left="1196" w:hanging="357"/>
        <w:jc w:val="left"/>
      </w:pPr>
      <w:r>
        <w:rPr>
          <w:rFonts w:hAnsi="宋体"/>
        </w:rPr>
        <w:t>在披露时已为公众所知悉；</w:t>
      </w:r>
    </w:p>
    <w:p>
      <w:pPr>
        <w:numPr>
          <w:ilvl w:val="0"/>
          <w:numId w:val="9"/>
        </w:numPr>
        <w:snapToGrid w:val="0"/>
        <w:spacing w:line="360" w:lineRule="auto"/>
        <w:ind w:left="1196" w:hanging="357"/>
        <w:jc w:val="left"/>
      </w:pPr>
      <w:r>
        <w:rPr>
          <w:rFonts w:hAnsi="宋体"/>
        </w:rPr>
        <w:t>在披露后非因</w:t>
      </w:r>
      <w:r>
        <w:rPr>
          <w:rFonts w:hint="eastAsia" w:hAnsi="宋体"/>
        </w:rPr>
        <w:t>乙</w:t>
      </w:r>
      <w:r>
        <w:rPr>
          <w:rFonts w:hAnsi="宋体"/>
        </w:rPr>
        <w:t>方的过错为公众所知；</w:t>
      </w:r>
    </w:p>
    <w:p>
      <w:pPr>
        <w:numPr>
          <w:ilvl w:val="0"/>
          <w:numId w:val="9"/>
        </w:numPr>
        <w:snapToGrid w:val="0"/>
        <w:spacing w:line="360" w:lineRule="auto"/>
        <w:ind w:left="1196" w:hanging="357"/>
        <w:jc w:val="left"/>
      </w:pPr>
      <w:r>
        <w:rPr>
          <w:rFonts w:hAnsi="宋体"/>
        </w:rPr>
        <w:t>被证明为</w:t>
      </w:r>
      <w:r>
        <w:rPr>
          <w:rFonts w:hint="eastAsia" w:hAnsi="宋体"/>
        </w:rPr>
        <w:t>乙</w:t>
      </w:r>
      <w:r>
        <w:rPr>
          <w:rFonts w:hAnsi="宋体"/>
        </w:rPr>
        <w:t>方在披露之前</w:t>
      </w:r>
      <w:r>
        <w:rPr>
          <w:rFonts w:hint="eastAsia" w:hAnsi="宋体"/>
        </w:rPr>
        <w:t>被</w:t>
      </w:r>
      <w:r>
        <w:rPr>
          <w:rFonts w:hAnsi="宋体"/>
        </w:rPr>
        <w:t>不负有保密义务的第三方适当地获取；</w:t>
      </w:r>
    </w:p>
    <w:p>
      <w:pPr>
        <w:numPr>
          <w:ilvl w:val="0"/>
          <w:numId w:val="9"/>
        </w:numPr>
        <w:snapToGrid w:val="0"/>
        <w:spacing w:line="360" w:lineRule="auto"/>
        <w:ind w:left="1196" w:hanging="357"/>
        <w:jc w:val="left"/>
      </w:pPr>
      <w:r>
        <w:rPr>
          <w:rFonts w:hAnsi="宋体"/>
        </w:rPr>
        <w:t>为法律、法院命令、证券交易所或任何政府机关或监管机构要求披露，但在此情况下，乙方应向甲方提供该等披露的草稿，并应甲方合理要求，在法律许可的范围内作出必要的修改。</w:t>
      </w:r>
    </w:p>
    <w:p>
      <w:pPr>
        <w:numPr>
          <w:ilvl w:val="0"/>
          <w:numId w:val="10"/>
        </w:numPr>
        <w:spacing w:line="360" w:lineRule="auto"/>
      </w:pPr>
      <w:r>
        <w:rPr>
          <w:rFonts w:hAnsi="宋体"/>
        </w:rPr>
        <w:t>任何一方未经另一方同意，不得将与本合同或执行本合同的订单有关的文件、图纸及技术资料等以任何形式、在任何时间告之或透露给与本合同无关的第三方。</w:t>
      </w:r>
    </w:p>
    <w:p>
      <w:pPr>
        <w:snapToGrid w:val="0"/>
        <w:spacing w:line="360" w:lineRule="auto"/>
        <w:jc w:val="left"/>
        <w:rPr>
          <w:b/>
        </w:rPr>
      </w:pPr>
    </w:p>
    <w:p>
      <w:pPr>
        <w:snapToGrid w:val="0"/>
        <w:spacing w:line="360" w:lineRule="auto"/>
        <w:jc w:val="left"/>
        <w:rPr>
          <w:b/>
        </w:rPr>
      </w:pPr>
      <w:r>
        <w:rPr>
          <w:rFonts w:hint="eastAsia"/>
          <w:b/>
        </w:rPr>
        <w:t>十一：不竞争限制 　　</w:t>
      </w:r>
    </w:p>
    <w:p>
      <w:pPr>
        <w:snapToGrid w:val="0"/>
        <w:spacing w:line="360" w:lineRule="auto"/>
        <w:ind w:firstLine="422" w:firstLineChars="200"/>
        <w:jc w:val="left"/>
        <w:rPr>
          <w:b/>
        </w:rPr>
      </w:pPr>
      <w:r>
        <w:rPr>
          <w:rFonts w:hint="eastAsia"/>
          <w:b/>
        </w:rPr>
        <w:t>本协议有效期间，乙方不得向甲方的任何直接竞争对手提供公关咨询、策划及相关服务。</w:t>
      </w:r>
      <w:r>
        <w:rPr>
          <w:rFonts w:hint="eastAsia"/>
          <w:b/>
        </w:rPr>
        <w:br w:type="textWrapping"/>
      </w:r>
      <w:r>
        <w:rPr>
          <w:rFonts w:hint="eastAsia"/>
          <w:b/>
        </w:rPr>
        <w:br w:type="textWrapping"/>
      </w:r>
    </w:p>
    <w:p>
      <w:pPr>
        <w:snapToGrid w:val="0"/>
        <w:spacing w:line="360" w:lineRule="auto"/>
        <w:jc w:val="left"/>
        <w:rPr>
          <w:b/>
        </w:rPr>
      </w:pPr>
    </w:p>
    <w:p>
      <w:pPr>
        <w:spacing w:line="360" w:lineRule="auto"/>
        <w:rPr>
          <w:b/>
        </w:rPr>
      </w:pPr>
      <w:r>
        <w:rPr>
          <w:rFonts w:hint="eastAsia" w:hAnsi="宋体"/>
          <w:b/>
        </w:rPr>
        <w:t>十二</w:t>
      </w:r>
      <w:r>
        <w:rPr>
          <w:rFonts w:hAnsi="宋体"/>
          <w:b/>
        </w:rPr>
        <w:t>、不可抗力：</w:t>
      </w:r>
    </w:p>
    <w:p>
      <w:pPr>
        <w:numPr>
          <w:ilvl w:val="0"/>
          <w:numId w:val="11"/>
        </w:numPr>
        <w:spacing w:line="360" w:lineRule="auto"/>
      </w:pPr>
      <w:r>
        <w:rPr>
          <w:rFonts w:hAnsi="宋体"/>
        </w:rPr>
        <w:t>如果本协议任何一方因不可抗力事件（定义如下）的影响迟延履行或不能履行其在本协议项下的义务，则其可免于承担由此产生的本协议项下的任何责任。</w:t>
      </w:r>
      <w:r>
        <w:t>“</w:t>
      </w:r>
      <w:r>
        <w:rPr>
          <w:rFonts w:hAnsi="宋体"/>
        </w:rPr>
        <w:t>不可抗力事件</w:t>
      </w:r>
      <w:r>
        <w:t>”</w:t>
      </w:r>
      <w:r>
        <w:rPr>
          <w:rFonts w:hAnsi="宋体"/>
        </w:rPr>
        <w:t>是指不能预见、超出受影响一方控制，且不能通过合理的谨慎操作而避免的任何事件，包括但不限于政府行为、火灾、爆炸、地理变异、洪水、地震、浪袭、雷击、战争、疫情或其他任何不可预见、不可避免及不能克服的事件。</w:t>
      </w:r>
    </w:p>
    <w:p>
      <w:pPr>
        <w:numPr>
          <w:ilvl w:val="0"/>
          <w:numId w:val="11"/>
        </w:numPr>
        <w:spacing w:line="360" w:lineRule="auto"/>
      </w:pPr>
      <w:r>
        <w:rPr>
          <w:rFonts w:hAnsi="宋体"/>
        </w:rPr>
        <w:t>受到不可抗力事件影响并主张免于承担其在本协议或本协议任何条款项下的义务的一方，应于不可抗力事件发生之日起三（</w:t>
      </w:r>
      <w:r>
        <w:t>3</w:t>
      </w:r>
      <w:r>
        <w:rPr>
          <w:rFonts w:hAnsi="宋体"/>
        </w:rPr>
        <w:t>）日内通知另一方不可抗力时间的发生情况，并采取所有必要的行动和措施以尽量减少和减轻相关损失和损害并在可行的前提下尽早恢复履行其在本协议项下的义务。</w:t>
      </w:r>
    </w:p>
    <w:p>
      <w:pPr>
        <w:numPr>
          <w:ilvl w:val="0"/>
          <w:numId w:val="11"/>
        </w:numPr>
        <w:spacing w:line="360" w:lineRule="auto"/>
      </w:pPr>
      <w:r>
        <w:rPr>
          <w:rFonts w:hAnsi="宋体"/>
        </w:rPr>
        <w:t>甲乙双方中任何一方因不可抗力的原因而不能履行或不能完全履行本合同时，应在第一时间之内告知另一方不能履行或不能完全履行的理由，双方可根据实际重新约定履行事项。</w:t>
      </w:r>
    </w:p>
    <w:p>
      <w:pPr>
        <w:spacing w:line="360" w:lineRule="auto"/>
      </w:pPr>
    </w:p>
    <w:p>
      <w:pPr>
        <w:spacing w:line="360" w:lineRule="auto"/>
        <w:rPr>
          <w:b/>
        </w:rPr>
      </w:pPr>
      <w:r>
        <w:rPr>
          <w:rFonts w:hAnsi="宋体"/>
          <w:b/>
        </w:rPr>
        <w:t>十</w:t>
      </w:r>
      <w:r>
        <w:rPr>
          <w:rFonts w:hint="eastAsia" w:hAnsi="宋体"/>
          <w:b/>
        </w:rPr>
        <w:t>三</w:t>
      </w:r>
      <w:r>
        <w:rPr>
          <w:rFonts w:hAnsi="宋体"/>
          <w:b/>
        </w:rPr>
        <w:t>、管辖法律和争议解决：</w:t>
      </w:r>
    </w:p>
    <w:p>
      <w:pPr>
        <w:spacing w:line="360" w:lineRule="auto"/>
        <w:ind w:firstLine="420"/>
      </w:pPr>
      <w:r>
        <w:rPr>
          <w:rFonts w:hAnsi="宋体"/>
        </w:rPr>
        <w:t>本协议在所有方面均受中国法律管辖。</w:t>
      </w:r>
    </w:p>
    <w:p>
      <w:pPr>
        <w:numPr>
          <w:ilvl w:val="0"/>
          <w:numId w:val="12"/>
        </w:numPr>
        <w:spacing w:line="360" w:lineRule="auto"/>
      </w:pPr>
      <w:r>
        <w:rPr>
          <w:rFonts w:hAnsi="宋体"/>
        </w:rPr>
        <w:t>所有由本协议的解释或履行引起的争议，应首先由双方通过友好协商解决。如果该等争议无法在自协商开始之日起三十（</w:t>
      </w:r>
      <w:r>
        <w:t>30</w:t>
      </w:r>
      <w:r>
        <w:rPr>
          <w:rFonts w:hAnsi="宋体"/>
        </w:rPr>
        <w:t>）内解决，则任何一方均有权将相关争议提交中国国际经济贸易</w:t>
      </w:r>
      <w:r>
        <w:rPr>
          <w:rFonts w:hAnsi="宋体"/>
          <w:color w:val="000000"/>
        </w:rPr>
        <w:t>仲裁</w:t>
      </w:r>
      <w:r>
        <w:rPr>
          <w:rFonts w:hAnsi="宋体"/>
        </w:rPr>
        <w:t>委员会</w:t>
      </w:r>
      <w:r>
        <w:rPr>
          <w:rFonts w:hint="eastAsia" w:hAnsi="宋体"/>
        </w:rPr>
        <w:t>北京分会</w:t>
      </w:r>
      <w:r>
        <w:rPr>
          <w:rFonts w:hAnsi="宋体"/>
        </w:rPr>
        <w:t>（</w:t>
      </w:r>
      <w:r>
        <w:t>“</w:t>
      </w:r>
      <w:r>
        <w:rPr>
          <w:rFonts w:hAnsi="宋体"/>
        </w:rPr>
        <w:t>仲裁委员会</w:t>
      </w:r>
      <w:r>
        <w:t>”</w:t>
      </w:r>
      <w:r>
        <w:rPr>
          <w:rFonts w:hAnsi="宋体"/>
        </w:rPr>
        <w:t>）按仲裁委员会当时有效的仲裁规则于北京进行仲裁。仲裁庭应由三（</w:t>
      </w:r>
      <w:r>
        <w:t>3</w:t>
      </w:r>
      <w:r>
        <w:rPr>
          <w:rFonts w:hAnsi="宋体"/>
        </w:rPr>
        <w:t>）名仲裁员组成，本协议各方各自指定一（</w:t>
      </w:r>
      <w:r>
        <w:t>1</w:t>
      </w:r>
      <w:r>
        <w:rPr>
          <w:rFonts w:hAnsi="宋体"/>
        </w:rPr>
        <w:t>）名仲裁员，第三名仲裁员将由仲裁委员会的主任指定。仲裁裁决将为终局的，对双方具约束力。败诉方将承担并支付所有的仲裁费用。</w:t>
      </w:r>
    </w:p>
    <w:p>
      <w:pPr>
        <w:numPr>
          <w:ilvl w:val="0"/>
          <w:numId w:val="12"/>
        </w:numPr>
        <w:spacing w:line="360" w:lineRule="auto"/>
      </w:pPr>
      <w:r>
        <w:rPr>
          <w:rFonts w:hAnsi="宋体"/>
        </w:rPr>
        <w:t>在争议解决期间，除争议事项外，双方将继续履行在本协议项下各自的其它义务。</w:t>
      </w:r>
    </w:p>
    <w:p>
      <w:pPr>
        <w:snapToGrid w:val="0"/>
        <w:spacing w:line="360" w:lineRule="auto"/>
        <w:jc w:val="left"/>
        <w:rPr>
          <w:b/>
        </w:rPr>
      </w:pPr>
    </w:p>
    <w:p>
      <w:pPr>
        <w:snapToGrid w:val="0"/>
        <w:spacing w:line="360" w:lineRule="auto"/>
        <w:rPr>
          <w:b/>
        </w:rPr>
      </w:pPr>
      <w:r>
        <w:rPr>
          <w:rFonts w:hAnsi="宋体"/>
          <w:b/>
        </w:rPr>
        <w:t>十</w:t>
      </w:r>
      <w:r>
        <w:rPr>
          <w:rFonts w:hint="eastAsia" w:hAnsi="宋体"/>
          <w:b/>
        </w:rPr>
        <w:t>四</w:t>
      </w:r>
      <w:r>
        <w:rPr>
          <w:rFonts w:hAnsi="宋体"/>
          <w:b/>
        </w:rPr>
        <w:t>、期限及终止</w:t>
      </w:r>
    </w:p>
    <w:p>
      <w:pPr>
        <w:numPr>
          <w:ilvl w:val="0"/>
          <w:numId w:val="13"/>
        </w:numPr>
        <w:snapToGrid w:val="0"/>
        <w:spacing w:line="360" w:lineRule="auto"/>
      </w:pPr>
      <w:r>
        <w:rPr>
          <w:rFonts w:hAnsi="宋体"/>
        </w:rPr>
        <w:t>本协议将自双方正式签署之日起生效，并且除非双方依据本协议有关条款提前终止本协议之外，本协议将在</w:t>
      </w:r>
      <w:r>
        <w:t>45</w:t>
      </w:r>
      <w:r>
        <w:rPr>
          <w:rFonts w:hAnsi="宋体"/>
        </w:rPr>
        <w:t>日内持续有效。</w:t>
      </w:r>
    </w:p>
    <w:p>
      <w:pPr>
        <w:numPr>
          <w:ilvl w:val="0"/>
          <w:numId w:val="13"/>
        </w:numPr>
        <w:snapToGrid w:val="0"/>
        <w:spacing w:line="360" w:lineRule="auto"/>
      </w:pPr>
      <w:r>
        <w:rPr>
          <w:rFonts w:hAnsi="宋体"/>
        </w:rPr>
        <w:t>当本协议任何一方出现下述情形之一时，另一方有权通过向对方发出书面通知的形式即刻终止本协议：</w:t>
      </w:r>
    </w:p>
    <w:p>
      <w:pPr>
        <w:numPr>
          <w:ilvl w:val="0"/>
          <w:numId w:val="14"/>
        </w:numPr>
        <w:tabs>
          <w:tab w:val="left" w:pos="900"/>
          <w:tab w:val="clear" w:pos="435"/>
        </w:tabs>
        <w:snapToGrid w:val="0"/>
        <w:spacing w:line="360" w:lineRule="auto"/>
        <w:ind w:left="900" w:hanging="360"/>
        <w:jc w:val="left"/>
      </w:pPr>
      <w:r>
        <w:rPr>
          <w:rFonts w:hAnsi="宋体"/>
        </w:rPr>
        <w:t>一方未能履行或遵守本协议项下的义务、条款及条件，且该等违约行为未能在其收到另一方发出的纠正违约行为通知之日起</w:t>
      </w:r>
      <w:r>
        <w:t>7</w:t>
      </w:r>
      <w:r>
        <w:rPr>
          <w:rFonts w:hAnsi="宋体"/>
        </w:rPr>
        <w:t>日内予以纠正；</w:t>
      </w:r>
      <w:r>
        <w:t xml:space="preserve"> </w:t>
      </w:r>
    </w:p>
    <w:p>
      <w:pPr>
        <w:numPr>
          <w:ilvl w:val="0"/>
          <w:numId w:val="14"/>
        </w:numPr>
        <w:tabs>
          <w:tab w:val="left" w:pos="540"/>
          <w:tab w:val="left" w:pos="900"/>
          <w:tab w:val="left" w:pos="1200"/>
          <w:tab w:val="clear" w:pos="435"/>
        </w:tabs>
        <w:snapToGrid w:val="0"/>
        <w:spacing w:line="360" w:lineRule="auto"/>
        <w:ind w:left="900" w:hanging="360"/>
        <w:jc w:val="left"/>
      </w:pPr>
      <w:r>
        <w:rPr>
          <w:rFonts w:hAnsi="宋体"/>
        </w:rPr>
        <w:t>一方变为破产或资不抵债，或面临清算或解散，或变为无法清偿到期债务或根据适用法律被解散。</w:t>
      </w:r>
    </w:p>
    <w:p>
      <w:pPr>
        <w:numPr>
          <w:ilvl w:val="1"/>
          <w:numId w:val="14"/>
        </w:numPr>
        <w:snapToGrid w:val="0"/>
        <w:spacing w:line="360" w:lineRule="auto"/>
        <w:jc w:val="left"/>
      </w:pPr>
      <w:r>
        <w:rPr>
          <w:rFonts w:hAnsi="宋体"/>
        </w:rPr>
        <w:t>本协议的期满或无论因何种原因导致的终止，</w:t>
      </w:r>
      <w:r>
        <w:rPr>
          <w:rFonts w:hAnsi="宋体"/>
          <w:color w:val="000000"/>
        </w:rPr>
        <w:t>均不应解除本协议任何一方支付其在该等到期日或终止日之前所应当向另一方支付到期或应付的款项的义务。</w:t>
      </w:r>
    </w:p>
    <w:p>
      <w:pPr>
        <w:numPr>
          <w:ilvl w:val="1"/>
          <w:numId w:val="14"/>
        </w:numPr>
        <w:snapToGrid w:val="0"/>
        <w:spacing w:line="360" w:lineRule="auto"/>
        <w:jc w:val="left"/>
      </w:pPr>
      <w:r>
        <w:rPr>
          <w:rFonts w:hAnsi="宋体"/>
        </w:rPr>
        <w:t>本协议第</w:t>
      </w:r>
      <w:r>
        <w:t>5</w:t>
      </w:r>
      <w:r>
        <w:rPr>
          <w:rFonts w:hAnsi="宋体"/>
        </w:rPr>
        <w:t>、</w:t>
      </w:r>
      <w:r>
        <w:rPr>
          <w:rFonts w:hint="eastAsia" w:hAnsi="宋体"/>
        </w:rPr>
        <w:t>6、</w:t>
      </w:r>
      <w:r>
        <w:t>7</w:t>
      </w:r>
      <w:r>
        <w:rPr>
          <w:rFonts w:hAnsi="宋体"/>
        </w:rPr>
        <w:t>、</w:t>
      </w:r>
      <w:r>
        <w:t>8</w:t>
      </w:r>
      <w:r>
        <w:rPr>
          <w:rFonts w:hAnsi="宋体"/>
        </w:rPr>
        <w:t>条以及本第</w:t>
      </w:r>
      <w:r>
        <w:t>11</w:t>
      </w:r>
      <w:r>
        <w:rPr>
          <w:rFonts w:hAnsi="宋体"/>
        </w:rPr>
        <w:t>条将不受本协议终止的影响而持续有效。</w:t>
      </w:r>
    </w:p>
    <w:p>
      <w:pPr>
        <w:numPr>
          <w:ilvl w:val="1"/>
          <w:numId w:val="14"/>
        </w:numPr>
        <w:snapToGrid w:val="0"/>
        <w:spacing w:line="360" w:lineRule="auto"/>
        <w:jc w:val="left"/>
      </w:pPr>
      <w:r>
        <w:rPr>
          <w:rFonts w:hint="eastAsia"/>
        </w:rPr>
        <w:t>所有有关本协议的变更、补充、或终止都需由双方协商并由双方授权人签核或加盖公司公章后，以协议的附件的形式生效。</w:t>
      </w:r>
    </w:p>
    <w:p>
      <w:pPr>
        <w:numPr>
          <w:ilvl w:val="1"/>
          <w:numId w:val="14"/>
        </w:numPr>
        <w:snapToGrid w:val="0"/>
        <w:spacing w:line="360" w:lineRule="auto"/>
        <w:jc w:val="left"/>
      </w:pPr>
      <w:r>
        <w:rPr>
          <w:rFonts w:hint="eastAsia"/>
        </w:rPr>
        <w:t>协议附件具有同等的效力。</w:t>
      </w:r>
    </w:p>
    <w:p>
      <w:pPr>
        <w:tabs>
          <w:tab w:val="left" w:pos="435"/>
          <w:tab w:val="left" w:pos="745"/>
          <w:tab w:val="left" w:pos="840"/>
        </w:tabs>
        <w:snapToGrid w:val="0"/>
        <w:spacing w:line="360" w:lineRule="auto"/>
        <w:ind w:left="420"/>
        <w:jc w:val="left"/>
      </w:pPr>
    </w:p>
    <w:p>
      <w:pPr>
        <w:snapToGrid w:val="0"/>
        <w:spacing w:line="360" w:lineRule="auto"/>
      </w:pPr>
    </w:p>
    <w:p>
      <w:pPr>
        <w:snapToGrid w:val="0"/>
        <w:spacing w:line="360" w:lineRule="auto"/>
      </w:pPr>
    </w:p>
    <w:p>
      <w:pPr>
        <w:snapToGrid w:val="0"/>
        <w:spacing w:line="360" w:lineRule="auto"/>
        <w:ind w:left="899"/>
        <w:jc w:val="left"/>
      </w:pPr>
    </w:p>
    <w:p>
      <w:pPr>
        <w:snapToGrid w:val="0"/>
        <w:spacing w:line="360" w:lineRule="auto"/>
        <w:rPr>
          <w:b/>
        </w:rPr>
      </w:pPr>
      <w:r>
        <w:rPr>
          <w:rFonts w:hAnsi="宋体"/>
          <w:b/>
        </w:rPr>
        <w:t>十</w:t>
      </w:r>
      <w:r>
        <w:rPr>
          <w:rFonts w:hint="eastAsia" w:hAnsi="宋体"/>
          <w:b/>
        </w:rPr>
        <w:t>六</w:t>
      </w:r>
      <w:r>
        <w:rPr>
          <w:rFonts w:hAnsi="宋体"/>
          <w:b/>
        </w:rPr>
        <w:t>、其他规定</w:t>
      </w:r>
    </w:p>
    <w:p>
      <w:pPr>
        <w:numPr>
          <w:ilvl w:val="0"/>
          <w:numId w:val="15"/>
        </w:numPr>
        <w:spacing w:line="360" w:lineRule="auto"/>
        <w:rPr>
          <w:b/>
        </w:rPr>
      </w:pPr>
      <w:r>
        <w:rPr>
          <w:rFonts w:hAnsi="宋体"/>
          <w:u w:val="single"/>
        </w:rPr>
        <w:t>可分割性。</w:t>
      </w:r>
      <w:r>
        <w:t xml:space="preserve">  </w:t>
      </w:r>
      <w:r>
        <w:rPr>
          <w:rFonts w:hAnsi="宋体"/>
        </w:rPr>
        <w:t>本协议的任何条款或规定如根据法律或公共政策被确认或裁决为无效、非法或不可强制执行，该等条款并不影响本协议其他条款的可执行性和效力，前提是本协议所规定的交易的经济和法律实质均未受到任何重大的不利于任何一方的影响。当本协议的任何条款或规定被确定为无效、非法或不可强制执行时，双方应以良好的诚信修改本协议，以使本协议得以通过双方均可接收的方式尽可能接近其各自的初始意图，以便本协议所规定的交易能够在最大限度内按照双方最初的设想完成。</w:t>
      </w:r>
    </w:p>
    <w:p>
      <w:pPr>
        <w:numPr>
          <w:ilvl w:val="0"/>
          <w:numId w:val="15"/>
        </w:numPr>
        <w:spacing w:line="360" w:lineRule="auto"/>
      </w:pPr>
      <w:r>
        <w:rPr>
          <w:rFonts w:hAnsi="宋体"/>
          <w:u w:val="single"/>
        </w:rPr>
        <w:t>税负。</w:t>
      </w:r>
      <w:r>
        <w:t xml:space="preserve">  </w:t>
      </w:r>
      <w:r>
        <w:rPr>
          <w:rFonts w:hAnsi="宋体"/>
        </w:rPr>
        <w:t>每一方均应依照适用的税收法律，承担其各自因履行本协议而引致的所有税负。</w:t>
      </w:r>
    </w:p>
    <w:p>
      <w:pPr>
        <w:numPr>
          <w:ilvl w:val="0"/>
          <w:numId w:val="15"/>
        </w:numPr>
        <w:spacing w:line="360" w:lineRule="auto"/>
      </w:pPr>
      <w:r>
        <w:rPr>
          <w:rFonts w:hAnsi="宋体"/>
          <w:u w:val="single"/>
        </w:rPr>
        <w:t>弃权。</w:t>
      </w:r>
      <w:r>
        <w:t xml:space="preserve"> </w:t>
      </w:r>
      <w:r>
        <w:rPr>
          <w:rFonts w:hAnsi="宋体"/>
        </w:rPr>
        <w:t>除非弃权方以书面形式明确表示放弃行使本协议任何条款项下的权利、权力或补救方法，并在该书面文件上签名，否则该等弃权将被视为无效。本协议任何一方未行使或延迟行使本协议项下的任何权利、权力或补救方法不应视为放弃这些权利、权力或补救方法；任何单独一次或部分放弃行使任何权利、权力或补救方法亦不应妨碍将来行使这些权利、权力或补救方法。在不限制前述规定的前提下，如任何一方放弃就另一方违反本协议任何条款的行为追究责任，不应视为其对任何相关后续违约行为或另一方违反本协议其他条款的行为均放弃追究责任。</w:t>
      </w:r>
    </w:p>
    <w:p>
      <w:pPr>
        <w:numPr>
          <w:ilvl w:val="0"/>
          <w:numId w:val="15"/>
        </w:numPr>
        <w:spacing w:line="360" w:lineRule="auto"/>
      </w:pPr>
      <w:r>
        <w:rPr>
          <w:rFonts w:hAnsi="宋体"/>
          <w:u w:val="single"/>
        </w:rPr>
        <w:t>转让。</w:t>
      </w:r>
      <w:r>
        <w:t xml:space="preserve">  </w:t>
      </w:r>
      <w:r>
        <w:rPr>
          <w:rFonts w:hAnsi="宋体"/>
        </w:rPr>
        <w:t>未经另一方事先书面同意，任何一方均无权向其关联机构之外的其他任何实体转让其在本协议项下的任何权利和义务。</w:t>
      </w:r>
    </w:p>
    <w:p>
      <w:pPr>
        <w:numPr>
          <w:ilvl w:val="0"/>
          <w:numId w:val="15"/>
        </w:numPr>
        <w:spacing w:line="360" w:lineRule="auto"/>
      </w:pPr>
      <w:r>
        <w:rPr>
          <w:rFonts w:hAnsi="宋体"/>
          <w:u w:val="single"/>
        </w:rPr>
        <w:t>承继人和转让。</w:t>
      </w:r>
      <w:r>
        <w:t xml:space="preserve">  </w:t>
      </w:r>
      <w:r>
        <w:rPr>
          <w:rFonts w:hAnsi="宋体"/>
        </w:rPr>
        <w:t>本协议对双方的承继人均有约束力，且本协议谨为双方、双方各自的承继人及其经允许的受让人的利益而制定。</w:t>
      </w:r>
    </w:p>
    <w:p>
      <w:pPr>
        <w:numPr>
          <w:ilvl w:val="0"/>
          <w:numId w:val="15"/>
        </w:numPr>
        <w:spacing w:line="360" w:lineRule="auto"/>
      </w:pPr>
      <w:r>
        <w:rPr>
          <w:rFonts w:hAnsi="宋体"/>
          <w:u w:val="single"/>
        </w:rPr>
        <w:t>全部协议。</w:t>
      </w:r>
      <w:r>
        <w:t xml:space="preserve">  </w:t>
      </w:r>
      <w:r>
        <w:rPr>
          <w:rFonts w:hAnsi="宋体"/>
        </w:rPr>
        <w:t>本协议构成各方关于本协议项下事宜之全部并且唯一的协议，并应取代双方之间此前与本协议项下事宜有关的全部口头或书面的协议、理解和沟通。</w:t>
      </w:r>
    </w:p>
    <w:p>
      <w:pPr>
        <w:numPr>
          <w:ilvl w:val="0"/>
          <w:numId w:val="15"/>
        </w:numPr>
        <w:spacing w:line="360" w:lineRule="auto"/>
      </w:pPr>
      <w:r>
        <w:rPr>
          <w:rFonts w:hAnsi="宋体"/>
          <w:u w:val="single"/>
        </w:rPr>
        <w:t>进一步承诺。</w:t>
      </w:r>
      <w:r>
        <w:t xml:space="preserve">  </w:t>
      </w:r>
      <w:r>
        <w:rPr>
          <w:rFonts w:hAnsi="宋体"/>
        </w:rPr>
        <w:t>本协议每一方均在此同意，为履行本协议项下的条款并实现本协议项下的目的，其将根据合理的需要和具体情形迅速并及时地签署相关文件并采取相关进一步的行动。</w:t>
      </w:r>
    </w:p>
    <w:p>
      <w:pPr>
        <w:numPr>
          <w:ilvl w:val="0"/>
          <w:numId w:val="15"/>
        </w:numPr>
        <w:spacing w:line="360" w:lineRule="auto"/>
      </w:pPr>
      <w:r>
        <w:rPr>
          <w:rFonts w:hAnsi="宋体"/>
          <w:u w:val="single"/>
        </w:rPr>
        <w:t>修订。</w:t>
      </w:r>
      <w:r>
        <w:t xml:space="preserve">  </w:t>
      </w:r>
      <w:r>
        <w:rPr>
          <w:rFonts w:hAnsi="宋体"/>
        </w:rPr>
        <w:t>本协议不得口头变更、修改或补充，只有在双方签署书面文件后方可变更、修改或补充本协议。</w:t>
      </w:r>
    </w:p>
    <w:p>
      <w:pPr>
        <w:numPr>
          <w:ilvl w:val="0"/>
          <w:numId w:val="15"/>
        </w:numPr>
        <w:spacing w:line="360" w:lineRule="auto"/>
      </w:pPr>
      <w:r>
        <w:rPr>
          <w:rFonts w:hint="eastAsia" w:ascii="宋体" w:hAnsi="宋体" w:cs="宋体"/>
        </w:rPr>
        <w:t xml:space="preserve"> 本协议书及其附件均为一式两份，均为正本，甲方与乙方各持一份。本协议在双方正式签署后即生效。</w:t>
      </w:r>
    </w:p>
    <w:p>
      <w:pPr>
        <w:snapToGrid w:val="0"/>
        <w:spacing w:line="240" w:lineRule="exact"/>
        <w:jc w:val="left"/>
      </w:pPr>
    </w:p>
    <w:p>
      <w:pPr>
        <w:pStyle w:val="11"/>
        <w:spacing w:line="360" w:lineRule="auto"/>
        <w:ind w:left="2675" w:hanging="2675"/>
        <w:rPr>
          <w:rFonts w:ascii="Arial" w:hAnsi="宋体"/>
          <w:sz w:val="21"/>
          <w:lang w:eastAsia="zh-CN"/>
        </w:rPr>
      </w:pPr>
      <w:r>
        <w:rPr>
          <w:rFonts w:ascii="Arial" w:hAnsi="宋体"/>
          <w:sz w:val="21"/>
          <w:lang w:eastAsia="zh-CN"/>
        </w:rPr>
        <w:t>兹证明，双方已促使其正式授权代表于本协议文首之日签署本协议。</w:t>
      </w:r>
    </w:p>
    <w:p>
      <w:pPr>
        <w:pStyle w:val="11"/>
        <w:spacing w:line="360" w:lineRule="auto"/>
        <w:ind w:left="2675" w:hanging="2675"/>
        <w:rPr>
          <w:rFonts w:ascii="Arial" w:hAnsi="宋体"/>
          <w:sz w:val="21"/>
          <w:lang w:eastAsia="zh-CN"/>
        </w:rPr>
      </w:pPr>
      <w:r>
        <w:rPr>
          <w:rFonts w:hint="eastAsia" w:ascii="Arial" w:hAnsi="宋体"/>
          <w:sz w:val="21"/>
          <w:lang w:eastAsia="zh-CN"/>
        </w:rPr>
        <w:t> （以下为签署项，无正文）</w:t>
      </w:r>
    </w:p>
    <w:p>
      <w:pPr>
        <w:pStyle w:val="11"/>
        <w:spacing w:line="360" w:lineRule="auto"/>
        <w:ind w:left="2675" w:hanging="2675"/>
        <w:rPr>
          <w:rFonts w:ascii="Arial" w:hAnsi="宋体"/>
          <w:sz w:val="21"/>
          <w:lang w:eastAsia="zh-CN"/>
        </w:rPr>
      </w:pPr>
    </w:p>
    <w:p>
      <w:pPr>
        <w:spacing w:line="360" w:lineRule="auto"/>
        <w:rPr>
          <w:b/>
        </w:rPr>
      </w:pPr>
      <w:r>
        <w:rPr>
          <w:b/>
        </w:rPr>
        <w:t xml:space="preserve"> </w:t>
      </w:r>
    </w:p>
    <w:p>
      <w:pPr>
        <w:spacing w:line="360" w:lineRule="auto"/>
        <w:rPr>
          <w:b/>
          <w:u w:val="single"/>
        </w:rPr>
      </w:pPr>
      <w:r>
        <w:rPr>
          <w:rFonts w:hAnsi="宋体"/>
          <w:b/>
        </w:rPr>
        <w:t>甲方</w:t>
      </w:r>
      <w:r>
        <w:rPr>
          <w:rFonts w:hint="eastAsia" w:hAnsi="宋体"/>
          <w:b/>
        </w:rPr>
        <w:t>：</w:t>
      </w:r>
      <w:r>
        <w:rPr>
          <w:rFonts w:hAnsi="宋体"/>
        </w:rPr>
        <w:t>康辉集团北京国际会议展览有限公司</w:t>
      </w:r>
      <w:r>
        <w:rPr>
          <w:rFonts w:hint="eastAsia" w:hAnsi="宋体"/>
        </w:rPr>
        <w:t xml:space="preserve">        </w:t>
      </w:r>
      <w:r>
        <w:rPr>
          <w:rFonts w:hAnsi="宋体"/>
          <w:b/>
        </w:rPr>
        <w:t>乙方：</w:t>
      </w:r>
      <w:r>
        <w:rPr>
          <w:rFonts w:hAnsi="宋体"/>
        </w:rPr>
        <w:t>北京睿涵空间文化传播有限公司</w:t>
      </w:r>
    </w:p>
    <w:p>
      <w:pPr>
        <w:spacing w:line="360" w:lineRule="auto"/>
        <w:rPr>
          <w:b/>
          <w:u w:val="single"/>
        </w:rPr>
      </w:pPr>
    </w:p>
    <w:p>
      <w:pPr>
        <w:spacing w:line="360" w:lineRule="auto"/>
        <w:rPr>
          <w:b/>
        </w:rPr>
      </w:pPr>
      <w:r>
        <w:rPr>
          <w:rFonts w:hAnsi="宋体"/>
          <w:b/>
        </w:rPr>
        <w:t>签字：　　　　　　　　　　　　　　　　　　</w:t>
      </w:r>
      <w:r>
        <w:rPr>
          <w:b/>
        </w:rPr>
        <w:t xml:space="preserve"> </w:t>
      </w:r>
      <w:r>
        <w:rPr>
          <w:rFonts w:hAnsi="宋体"/>
          <w:b/>
        </w:rPr>
        <w:t>签字：</w:t>
      </w:r>
    </w:p>
    <w:p>
      <w:pPr>
        <w:spacing w:line="360" w:lineRule="auto"/>
        <w:rPr>
          <w:b/>
        </w:rPr>
      </w:pPr>
    </w:p>
    <w:p>
      <w:pPr>
        <w:spacing w:line="360" w:lineRule="auto"/>
        <w:rPr>
          <w:b/>
        </w:rPr>
      </w:pPr>
      <w:r>
        <w:rPr>
          <w:rFonts w:hAnsi="宋体"/>
          <w:b/>
        </w:rPr>
        <w:t>日期：　　　　　　　　　　　　　　　　</w:t>
      </w:r>
      <w:r>
        <w:rPr>
          <w:b/>
        </w:rPr>
        <w:t xml:space="preserve">   </w:t>
      </w:r>
      <w:r>
        <w:rPr>
          <w:rFonts w:hAnsi="宋体"/>
          <w:b/>
        </w:rPr>
        <w:t>　日期：</w:t>
      </w:r>
    </w:p>
    <w:p/>
    <w:p/>
    <w:sectPr>
      <w:headerReference r:id="rId3" w:type="default"/>
      <w:footerReference r:id="rId4" w:type="default"/>
      <w:footerReference r:id="rId5" w:type="even"/>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PMingLiU">
    <w:altName w:val="MingLiU-ExtB"/>
    <w:panose1 w:val="00000000000000000000"/>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5"/>
      <w:pBdr>
        <w:bottom w:val="none" w:color="auto" w:sz="0" w:space="0"/>
      </w:pBdr>
      <w:tabs>
        <w:tab w:val="center" w:pos="4140"/>
        <w:tab w:val="clear" w:pos="4153"/>
      </w:tabs>
      <w:rPr>
        <w:sz w:val="15"/>
      </w:rPr>
    </w:pPr>
  </w:p>
  <w:p>
    <w:pPr>
      <w:pStyle w:val="5"/>
      <w:pBdr>
        <w:bottom w:val="none" w:color="auto" w:sz="0" w:space="0"/>
      </w:pBdr>
      <w:tabs>
        <w:tab w:val="center" w:pos="4140"/>
        <w:tab w:val="clear" w:pos="4153"/>
      </w:tabs>
      <w:rPr>
        <w:sz w:val="15"/>
      </w:rPr>
    </w:pPr>
  </w:p>
  <w:p>
    <w:pPr>
      <w:pStyle w:val="5"/>
      <w:pBdr>
        <w:bottom w:val="none" w:color="auto" w:sz="0" w:space="0"/>
      </w:pBdr>
      <w:tabs>
        <w:tab w:val="center" w:pos="4140"/>
        <w:tab w:val="clear" w:pos="4153"/>
      </w:tabs>
      <w:rPr>
        <w:rFonts w:ascii="黑体" w:hAnsi="PMingLiU"/>
        <w:sz w:val="15"/>
      </w:rPr>
    </w:pPr>
    <w:r>
      <w:rPr>
        <w:rFonts w:hint="eastAsia" w:ascii="黑体" w:hAnsi="PMingLiU"/>
        <w:sz w:val="15"/>
      </w:rPr>
      <w:t>北京</w:t>
    </w:r>
    <w:r>
      <w:rPr>
        <w:rFonts w:ascii="黑体" w:hAnsi="PMingLiU"/>
        <w:sz w:val="15"/>
      </w:rPr>
      <w:t>睿涵空间文化传播有限公司</w:t>
    </w:r>
  </w:p>
  <w:p>
    <w:pPr>
      <w:pStyle w:val="5"/>
      <w:pBdr>
        <w:bottom w:val="none" w:color="auto" w:sz="0" w:space="0"/>
      </w:pBdr>
      <w:rPr>
        <w:rFonts w:eastAsia="黑体"/>
        <w:sz w:val="15"/>
      </w:rPr>
    </w:pPr>
    <w:r>
      <w:rPr>
        <w:rFonts w:hint="eastAsia"/>
        <w:sz w:val="15"/>
      </w:rPr>
      <w:t>　北京市</w:t>
    </w:r>
    <w:r>
      <w:rPr>
        <w:sz w:val="15"/>
      </w:rPr>
      <w:t>朝阳区三里屯甲2</w:t>
    </w:r>
    <w:r>
      <w:rPr>
        <w:rFonts w:hint="eastAsia"/>
        <w:sz w:val="15"/>
      </w:rPr>
      <w:t>号</w:t>
    </w:r>
    <w:r>
      <w:rPr>
        <w:sz w:val="15"/>
      </w:rPr>
      <w:t>盈科中心</w:t>
    </w:r>
    <w:r>
      <w:rPr>
        <w:rFonts w:hint="eastAsia"/>
        <w:sz w:val="15"/>
      </w:rPr>
      <w:t xml:space="preserve">5层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 xml:space="preserve">                                                                        北京睿涵空间文化传播</w:t>
    </w:r>
    <w:r>
      <w:rPr>
        <w:rFonts w:hint="eastAsia"/>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B91"/>
    <w:multiLevelType w:val="multilevel"/>
    <w:tmpl w:val="00DA5B91"/>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140"/>
        </w:tabs>
        <w:ind w:left="1140" w:hanging="360"/>
      </w:pPr>
      <w:rPr>
        <w:rFonts w:hint="default"/>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05CF1235"/>
    <w:multiLevelType w:val="multilevel"/>
    <w:tmpl w:val="05CF1235"/>
    <w:lvl w:ilvl="0" w:tentative="0">
      <w:start w:val="1"/>
      <w:numFmt w:val="bullet"/>
      <w:lvlText w:val=""/>
      <w:lvlJc w:val="left"/>
      <w:pPr>
        <w:tabs>
          <w:tab w:val="left" w:pos="959"/>
        </w:tabs>
        <w:ind w:left="959"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143DCF"/>
    <w:multiLevelType w:val="multilevel"/>
    <w:tmpl w:val="16143DCF"/>
    <w:lvl w:ilvl="0" w:tentative="0">
      <w:start w:val="1"/>
      <w:numFmt w:val="lowerLetter"/>
      <w:lvlText w:val="(%1)"/>
      <w:lvlJc w:val="left"/>
      <w:pPr>
        <w:tabs>
          <w:tab w:val="left" w:pos="435"/>
        </w:tabs>
        <w:ind w:left="435" w:hanging="435"/>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D8C382B"/>
    <w:multiLevelType w:val="multilevel"/>
    <w:tmpl w:val="1D8C382B"/>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B8679C4"/>
    <w:multiLevelType w:val="multilevel"/>
    <w:tmpl w:val="2B8679C4"/>
    <w:lvl w:ilvl="0" w:tentative="0">
      <w:start w:val="1"/>
      <w:numFmt w:val="bullet"/>
      <w:lvlText w:val=""/>
      <w:lvlJc w:val="left"/>
      <w:pPr>
        <w:tabs>
          <w:tab w:val="left" w:pos="882"/>
        </w:tabs>
        <w:ind w:left="882" w:hanging="420"/>
      </w:pPr>
      <w:rPr>
        <w:rFonts w:hint="default" w:ascii="Wingdings" w:hAnsi="Wingdings"/>
      </w:rPr>
    </w:lvl>
    <w:lvl w:ilvl="1" w:tentative="0">
      <w:start w:val="1"/>
      <w:numFmt w:val="bullet"/>
      <w:lvlText w:val=""/>
      <w:lvlJc w:val="left"/>
      <w:pPr>
        <w:tabs>
          <w:tab w:val="left" w:pos="1302"/>
        </w:tabs>
        <w:ind w:left="1302" w:hanging="420"/>
      </w:pPr>
      <w:rPr>
        <w:rFonts w:hint="default" w:ascii="Wingdings" w:hAnsi="Wingdings"/>
      </w:rPr>
    </w:lvl>
    <w:lvl w:ilvl="2" w:tentative="0">
      <w:start w:val="1"/>
      <w:numFmt w:val="bullet"/>
      <w:lvlText w:val=""/>
      <w:lvlJc w:val="left"/>
      <w:pPr>
        <w:tabs>
          <w:tab w:val="left" w:pos="1722"/>
        </w:tabs>
        <w:ind w:left="1722" w:hanging="420"/>
      </w:pPr>
      <w:rPr>
        <w:rFonts w:hint="default" w:ascii="Wingdings" w:hAnsi="Wingdings"/>
      </w:rPr>
    </w:lvl>
    <w:lvl w:ilvl="3" w:tentative="0">
      <w:start w:val="1"/>
      <w:numFmt w:val="bullet"/>
      <w:lvlText w:val=""/>
      <w:lvlJc w:val="left"/>
      <w:pPr>
        <w:tabs>
          <w:tab w:val="left" w:pos="2142"/>
        </w:tabs>
        <w:ind w:left="2142" w:hanging="420"/>
      </w:pPr>
      <w:rPr>
        <w:rFonts w:hint="default" w:ascii="Wingdings" w:hAnsi="Wingdings"/>
      </w:rPr>
    </w:lvl>
    <w:lvl w:ilvl="4" w:tentative="0">
      <w:start w:val="1"/>
      <w:numFmt w:val="bullet"/>
      <w:lvlText w:val=""/>
      <w:lvlJc w:val="left"/>
      <w:pPr>
        <w:tabs>
          <w:tab w:val="left" w:pos="2562"/>
        </w:tabs>
        <w:ind w:left="2562" w:hanging="420"/>
      </w:pPr>
      <w:rPr>
        <w:rFonts w:hint="default" w:ascii="Wingdings" w:hAnsi="Wingdings"/>
      </w:rPr>
    </w:lvl>
    <w:lvl w:ilvl="5" w:tentative="0">
      <w:start w:val="1"/>
      <w:numFmt w:val="bullet"/>
      <w:lvlText w:val=""/>
      <w:lvlJc w:val="left"/>
      <w:pPr>
        <w:tabs>
          <w:tab w:val="left" w:pos="2982"/>
        </w:tabs>
        <w:ind w:left="2982" w:hanging="420"/>
      </w:pPr>
      <w:rPr>
        <w:rFonts w:hint="default" w:ascii="Wingdings" w:hAnsi="Wingdings"/>
      </w:rPr>
    </w:lvl>
    <w:lvl w:ilvl="6" w:tentative="0">
      <w:start w:val="1"/>
      <w:numFmt w:val="bullet"/>
      <w:lvlText w:val=""/>
      <w:lvlJc w:val="left"/>
      <w:pPr>
        <w:tabs>
          <w:tab w:val="left" w:pos="3402"/>
        </w:tabs>
        <w:ind w:left="3402" w:hanging="420"/>
      </w:pPr>
      <w:rPr>
        <w:rFonts w:hint="default" w:ascii="Wingdings" w:hAnsi="Wingdings"/>
      </w:rPr>
    </w:lvl>
    <w:lvl w:ilvl="7" w:tentative="0">
      <w:start w:val="1"/>
      <w:numFmt w:val="bullet"/>
      <w:lvlText w:val=""/>
      <w:lvlJc w:val="left"/>
      <w:pPr>
        <w:tabs>
          <w:tab w:val="left" w:pos="3822"/>
        </w:tabs>
        <w:ind w:left="3822" w:hanging="420"/>
      </w:pPr>
      <w:rPr>
        <w:rFonts w:hint="default" w:ascii="Wingdings" w:hAnsi="Wingdings"/>
      </w:rPr>
    </w:lvl>
    <w:lvl w:ilvl="8" w:tentative="0">
      <w:start w:val="1"/>
      <w:numFmt w:val="bullet"/>
      <w:lvlText w:val=""/>
      <w:lvlJc w:val="left"/>
      <w:pPr>
        <w:tabs>
          <w:tab w:val="left" w:pos="4242"/>
        </w:tabs>
        <w:ind w:left="4242" w:hanging="420"/>
      </w:pPr>
      <w:rPr>
        <w:rFonts w:hint="default" w:ascii="Wingdings" w:hAnsi="Wingdings"/>
      </w:rPr>
    </w:lvl>
  </w:abstractNum>
  <w:abstractNum w:abstractNumId="5">
    <w:nsid w:val="3CAB2A32"/>
    <w:multiLevelType w:val="multilevel"/>
    <w:tmpl w:val="3CAB2A32"/>
    <w:lvl w:ilvl="0" w:tentative="0">
      <w:start w:val="1"/>
      <w:numFmt w:val="bullet"/>
      <w:lvlText w:val=""/>
      <w:lvlJc w:val="left"/>
      <w:pPr>
        <w:tabs>
          <w:tab w:val="left" w:pos="879"/>
        </w:tabs>
        <w:ind w:left="879" w:hanging="420"/>
      </w:pPr>
      <w:rPr>
        <w:rFonts w:hint="default" w:ascii="Wingdings" w:hAnsi="Wingdings"/>
      </w:rPr>
    </w:lvl>
    <w:lvl w:ilvl="1" w:tentative="0">
      <w:start w:val="1"/>
      <w:numFmt w:val="bullet"/>
      <w:lvlText w:val=""/>
      <w:lvlJc w:val="left"/>
      <w:pPr>
        <w:tabs>
          <w:tab w:val="left" w:pos="1299"/>
        </w:tabs>
        <w:ind w:left="1299" w:hanging="420"/>
      </w:pPr>
      <w:rPr>
        <w:rFonts w:hint="default" w:ascii="Wingdings" w:hAnsi="Wingdings"/>
      </w:rPr>
    </w:lvl>
    <w:lvl w:ilvl="2" w:tentative="0">
      <w:start w:val="1"/>
      <w:numFmt w:val="bullet"/>
      <w:lvlText w:val=""/>
      <w:lvlJc w:val="left"/>
      <w:pPr>
        <w:tabs>
          <w:tab w:val="left" w:pos="1719"/>
        </w:tabs>
        <w:ind w:left="1719" w:hanging="420"/>
      </w:pPr>
      <w:rPr>
        <w:rFonts w:hint="default" w:ascii="Wingdings" w:hAnsi="Wingdings"/>
      </w:rPr>
    </w:lvl>
    <w:lvl w:ilvl="3" w:tentative="0">
      <w:start w:val="1"/>
      <w:numFmt w:val="bullet"/>
      <w:lvlText w:val=""/>
      <w:lvlJc w:val="left"/>
      <w:pPr>
        <w:tabs>
          <w:tab w:val="left" w:pos="2139"/>
        </w:tabs>
        <w:ind w:left="2139" w:hanging="420"/>
      </w:pPr>
      <w:rPr>
        <w:rFonts w:hint="default" w:ascii="Wingdings" w:hAnsi="Wingdings"/>
      </w:rPr>
    </w:lvl>
    <w:lvl w:ilvl="4" w:tentative="0">
      <w:start w:val="1"/>
      <w:numFmt w:val="bullet"/>
      <w:lvlText w:val=""/>
      <w:lvlJc w:val="left"/>
      <w:pPr>
        <w:tabs>
          <w:tab w:val="left" w:pos="2559"/>
        </w:tabs>
        <w:ind w:left="2559" w:hanging="420"/>
      </w:pPr>
      <w:rPr>
        <w:rFonts w:hint="default" w:ascii="Wingdings" w:hAnsi="Wingdings"/>
      </w:rPr>
    </w:lvl>
    <w:lvl w:ilvl="5" w:tentative="0">
      <w:start w:val="1"/>
      <w:numFmt w:val="bullet"/>
      <w:lvlText w:val=""/>
      <w:lvlJc w:val="left"/>
      <w:pPr>
        <w:tabs>
          <w:tab w:val="left" w:pos="2979"/>
        </w:tabs>
        <w:ind w:left="2979" w:hanging="420"/>
      </w:pPr>
      <w:rPr>
        <w:rFonts w:hint="default" w:ascii="Wingdings" w:hAnsi="Wingdings"/>
      </w:rPr>
    </w:lvl>
    <w:lvl w:ilvl="6" w:tentative="0">
      <w:start w:val="1"/>
      <w:numFmt w:val="bullet"/>
      <w:lvlText w:val=""/>
      <w:lvlJc w:val="left"/>
      <w:pPr>
        <w:tabs>
          <w:tab w:val="left" w:pos="3399"/>
        </w:tabs>
        <w:ind w:left="3399" w:hanging="420"/>
      </w:pPr>
      <w:rPr>
        <w:rFonts w:hint="default" w:ascii="Wingdings" w:hAnsi="Wingdings"/>
      </w:rPr>
    </w:lvl>
    <w:lvl w:ilvl="7" w:tentative="0">
      <w:start w:val="1"/>
      <w:numFmt w:val="bullet"/>
      <w:lvlText w:val=""/>
      <w:lvlJc w:val="left"/>
      <w:pPr>
        <w:tabs>
          <w:tab w:val="left" w:pos="3819"/>
        </w:tabs>
        <w:ind w:left="3819" w:hanging="420"/>
      </w:pPr>
      <w:rPr>
        <w:rFonts w:hint="default" w:ascii="Wingdings" w:hAnsi="Wingdings"/>
      </w:rPr>
    </w:lvl>
    <w:lvl w:ilvl="8" w:tentative="0">
      <w:start w:val="1"/>
      <w:numFmt w:val="bullet"/>
      <w:lvlText w:val=""/>
      <w:lvlJc w:val="left"/>
      <w:pPr>
        <w:tabs>
          <w:tab w:val="left" w:pos="4239"/>
        </w:tabs>
        <w:ind w:left="4239" w:hanging="420"/>
      </w:pPr>
      <w:rPr>
        <w:rFonts w:hint="default" w:ascii="Wingdings" w:hAnsi="Wingdings"/>
      </w:rPr>
    </w:lvl>
  </w:abstractNum>
  <w:abstractNum w:abstractNumId="6">
    <w:nsid w:val="438D3496"/>
    <w:multiLevelType w:val="multilevel"/>
    <w:tmpl w:val="438D3496"/>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440D592B"/>
    <w:multiLevelType w:val="multilevel"/>
    <w:tmpl w:val="440D592B"/>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2C81287"/>
    <w:multiLevelType w:val="multilevel"/>
    <w:tmpl w:val="52C8128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54754F65"/>
    <w:multiLevelType w:val="multilevel"/>
    <w:tmpl w:val="54754F65"/>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0">
    <w:nsid w:val="67A035EB"/>
    <w:multiLevelType w:val="multilevel"/>
    <w:tmpl w:val="67A035EB"/>
    <w:lvl w:ilvl="0" w:tentative="0">
      <w:start w:val="1"/>
      <w:numFmt w:val="bullet"/>
      <w:lvlText w:val=""/>
      <w:lvlJc w:val="left"/>
      <w:pPr>
        <w:tabs>
          <w:tab w:val="left" w:pos="959"/>
        </w:tabs>
        <w:ind w:left="959" w:hanging="420"/>
      </w:pPr>
      <w:rPr>
        <w:rFonts w:hint="default" w:ascii="Wingdings" w:hAnsi="Wingdings"/>
      </w:rPr>
    </w:lvl>
    <w:lvl w:ilvl="1" w:tentative="0">
      <w:start w:val="1"/>
      <w:numFmt w:val="lowerLetter"/>
      <w:lvlText w:val="%2)"/>
      <w:lvlJc w:val="left"/>
      <w:pPr>
        <w:tabs>
          <w:tab w:val="left" w:pos="1185"/>
        </w:tabs>
        <w:ind w:left="1185" w:hanging="420"/>
      </w:pPr>
    </w:lvl>
    <w:lvl w:ilvl="2" w:tentative="0">
      <w:start w:val="1"/>
      <w:numFmt w:val="lowerRoman"/>
      <w:lvlText w:val="%3."/>
      <w:lvlJc w:val="right"/>
      <w:pPr>
        <w:tabs>
          <w:tab w:val="left" w:pos="1605"/>
        </w:tabs>
        <w:ind w:left="1605" w:hanging="420"/>
      </w:pPr>
    </w:lvl>
    <w:lvl w:ilvl="3" w:tentative="0">
      <w:start w:val="1"/>
      <w:numFmt w:val="decimal"/>
      <w:lvlText w:val="%4."/>
      <w:lvlJc w:val="left"/>
      <w:pPr>
        <w:tabs>
          <w:tab w:val="left" w:pos="2025"/>
        </w:tabs>
        <w:ind w:left="2025" w:hanging="420"/>
      </w:pPr>
    </w:lvl>
    <w:lvl w:ilvl="4" w:tentative="0">
      <w:start w:val="1"/>
      <w:numFmt w:val="lowerLetter"/>
      <w:lvlText w:val="%5)"/>
      <w:lvlJc w:val="left"/>
      <w:pPr>
        <w:tabs>
          <w:tab w:val="left" w:pos="2445"/>
        </w:tabs>
        <w:ind w:left="2445" w:hanging="420"/>
      </w:pPr>
    </w:lvl>
    <w:lvl w:ilvl="5" w:tentative="0">
      <w:start w:val="1"/>
      <w:numFmt w:val="lowerRoman"/>
      <w:lvlText w:val="%6."/>
      <w:lvlJc w:val="right"/>
      <w:pPr>
        <w:tabs>
          <w:tab w:val="left" w:pos="2865"/>
        </w:tabs>
        <w:ind w:left="2865" w:hanging="420"/>
      </w:pPr>
    </w:lvl>
    <w:lvl w:ilvl="6" w:tentative="0">
      <w:start w:val="1"/>
      <w:numFmt w:val="decimal"/>
      <w:lvlText w:val="%7."/>
      <w:lvlJc w:val="left"/>
      <w:pPr>
        <w:tabs>
          <w:tab w:val="left" w:pos="3285"/>
        </w:tabs>
        <w:ind w:left="3285" w:hanging="420"/>
      </w:pPr>
    </w:lvl>
    <w:lvl w:ilvl="7" w:tentative="0">
      <w:start w:val="1"/>
      <w:numFmt w:val="lowerLetter"/>
      <w:lvlText w:val="%8)"/>
      <w:lvlJc w:val="left"/>
      <w:pPr>
        <w:tabs>
          <w:tab w:val="left" w:pos="3705"/>
        </w:tabs>
        <w:ind w:left="3705" w:hanging="420"/>
      </w:pPr>
    </w:lvl>
    <w:lvl w:ilvl="8" w:tentative="0">
      <w:start w:val="1"/>
      <w:numFmt w:val="lowerRoman"/>
      <w:lvlText w:val="%9."/>
      <w:lvlJc w:val="right"/>
      <w:pPr>
        <w:tabs>
          <w:tab w:val="left" w:pos="4125"/>
        </w:tabs>
        <w:ind w:left="4125" w:hanging="420"/>
      </w:pPr>
    </w:lvl>
  </w:abstractNum>
  <w:abstractNum w:abstractNumId="11">
    <w:nsid w:val="720B5E96"/>
    <w:multiLevelType w:val="multilevel"/>
    <w:tmpl w:val="720B5E9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2">
    <w:nsid w:val="76141BF9"/>
    <w:multiLevelType w:val="multilevel"/>
    <w:tmpl w:val="76141BF9"/>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3">
    <w:nsid w:val="7BDB5183"/>
    <w:multiLevelType w:val="multilevel"/>
    <w:tmpl w:val="7BDB5183"/>
    <w:lvl w:ilvl="0" w:tentative="0">
      <w:start w:val="1"/>
      <w:numFmt w:val="lowerLetter"/>
      <w:lvlText w:val="(%1)"/>
      <w:lvlJc w:val="left"/>
      <w:pPr>
        <w:tabs>
          <w:tab w:val="left" w:pos="1200"/>
        </w:tabs>
        <w:ind w:left="1200" w:hanging="36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4">
    <w:nsid w:val="7E240416"/>
    <w:multiLevelType w:val="multilevel"/>
    <w:tmpl w:val="7E240416"/>
    <w:lvl w:ilvl="0" w:tentative="0">
      <w:start w:val="1"/>
      <w:numFmt w:val="bullet"/>
      <w:lvlText w:val=""/>
      <w:lvlJc w:val="left"/>
      <w:pPr>
        <w:tabs>
          <w:tab w:val="left" w:pos="959"/>
        </w:tabs>
        <w:ind w:left="959" w:hanging="420"/>
      </w:pPr>
      <w:rPr>
        <w:rFonts w:hint="default" w:ascii="Wingdings" w:hAnsi="Wingdings"/>
      </w:rPr>
    </w:lvl>
    <w:lvl w:ilvl="1" w:tentative="0">
      <w:start w:val="1"/>
      <w:numFmt w:val="bullet"/>
      <w:lvlText w:val=""/>
      <w:lvlJc w:val="left"/>
      <w:pPr>
        <w:tabs>
          <w:tab w:val="left" w:pos="1379"/>
        </w:tabs>
        <w:ind w:left="1379" w:hanging="420"/>
      </w:pPr>
      <w:rPr>
        <w:rFonts w:hint="default" w:ascii="Wingdings" w:hAnsi="Wingdings"/>
      </w:rPr>
    </w:lvl>
    <w:lvl w:ilvl="2" w:tentative="0">
      <w:start w:val="1"/>
      <w:numFmt w:val="bullet"/>
      <w:lvlText w:val=""/>
      <w:lvlJc w:val="left"/>
      <w:pPr>
        <w:tabs>
          <w:tab w:val="left" w:pos="1799"/>
        </w:tabs>
        <w:ind w:left="1799" w:hanging="420"/>
      </w:pPr>
      <w:rPr>
        <w:rFonts w:hint="default" w:ascii="Wingdings" w:hAnsi="Wingdings"/>
      </w:rPr>
    </w:lvl>
    <w:lvl w:ilvl="3" w:tentative="0">
      <w:start w:val="1"/>
      <w:numFmt w:val="bullet"/>
      <w:lvlText w:val=""/>
      <w:lvlJc w:val="left"/>
      <w:pPr>
        <w:tabs>
          <w:tab w:val="left" w:pos="2219"/>
        </w:tabs>
        <w:ind w:left="2219" w:hanging="420"/>
      </w:pPr>
      <w:rPr>
        <w:rFonts w:hint="default" w:ascii="Wingdings" w:hAnsi="Wingdings"/>
      </w:rPr>
    </w:lvl>
    <w:lvl w:ilvl="4" w:tentative="0">
      <w:start w:val="1"/>
      <w:numFmt w:val="bullet"/>
      <w:lvlText w:val=""/>
      <w:lvlJc w:val="left"/>
      <w:pPr>
        <w:tabs>
          <w:tab w:val="left" w:pos="2639"/>
        </w:tabs>
        <w:ind w:left="2639" w:hanging="420"/>
      </w:pPr>
      <w:rPr>
        <w:rFonts w:hint="default" w:ascii="Wingdings" w:hAnsi="Wingdings"/>
      </w:rPr>
    </w:lvl>
    <w:lvl w:ilvl="5" w:tentative="0">
      <w:start w:val="1"/>
      <w:numFmt w:val="bullet"/>
      <w:lvlText w:val=""/>
      <w:lvlJc w:val="left"/>
      <w:pPr>
        <w:tabs>
          <w:tab w:val="left" w:pos="3059"/>
        </w:tabs>
        <w:ind w:left="3059" w:hanging="420"/>
      </w:pPr>
      <w:rPr>
        <w:rFonts w:hint="default" w:ascii="Wingdings" w:hAnsi="Wingdings"/>
      </w:rPr>
    </w:lvl>
    <w:lvl w:ilvl="6" w:tentative="0">
      <w:start w:val="1"/>
      <w:numFmt w:val="bullet"/>
      <w:lvlText w:val=""/>
      <w:lvlJc w:val="left"/>
      <w:pPr>
        <w:tabs>
          <w:tab w:val="left" w:pos="3479"/>
        </w:tabs>
        <w:ind w:left="3479" w:hanging="420"/>
      </w:pPr>
      <w:rPr>
        <w:rFonts w:hint="default" w:ascii="Wingdings" w:hAnsi="Wingdings"/>
      </w:rPr>
    </w:lvl>
    <w:lvl w:ilvl="7" w:tentative="0">
      <w:start w:val="1"/>
      <w:numFmt w:val="bullet"/>
      <w:lvlText w:val=""/>
      <w:lvlJc w:val="left"/>
      <w:pPr>
        <w:tabs>
          <w:tab w:val="left" w:pos="3899"/>
        </w:tabs>
        <w:ind w:left="3899" w:hanging="420"/>
      </w:pPr>
      <w:rPr>
        <w:rFonts w:hint="default" w:ascii="Wingdings" w:hAnsi="Wingdings"/>
      </w:rPr>
    </w:lvl>
    <w:lvl w:ilvl="8" w:tentative="0">
      <w:start w:val="1"/>
      <w:numFmt w:val="bullet"/>
      <w:lvlText w:val=""/>
      <w:lvlJc w:val="left"/>
      <w:pPr>
        <w:tabs>
          <w:tab w:val="left" w:pos="4319"/>
        </w:tabs>
        <w:ind w:left="4319" w:hanging="420"/>
      </w:pPr>
      <w:rPr>
        <w:rFonts w:hint="default" w:ascii="Wingdings" w:hAnsi="Wingdings"/>
      </w:rPr>
    </w:lvl>
  </w:abstractNum>
  <w:num w:numId="1">
    <w:abstractNumId w:val="0"/>
  </w:num>
  <w:num w:numId="2">
    <w:abstractNumId w:val="9"/>
  </w:num>
  <w:num w:numId="3">
    <w:abstractNumId w:val="11"/>
  </w:num>
  <w:num w:numId="4">
    <w:abstractNumId w:val="6"/>
  </w:num>
  <w:num w:numId="5">
    <w:abstractNumId w:val="5"/>
  </w:num>
  <w:num w:numId="6">
    <w:abstractNumId w:val="12"/>
  </w:num>
  <w:num w:numId="7">
    <w:abstractNumId w:val="4"/>
  </w:num>
  <w:num w:numId="8">
    <w:abstractNumId w:val="14"/>
  </w:num>
  <w:num w:numId="9">
    <w:abstractNumId w:val="13"/>
  </w:num>
  <w:num w:numId="10">
    <w:abstractNumId w:val="1"/>
  </w:num>
  <w:num w:numId="11">
    <w:abstractNumId w:val="10"/>
  </w:num>
  <w:num w:numId="12">
    <w:abstractNumId w:val="7"/>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83"/>
    <w:rsid w:val="00026261"/>
    <w:rsid w:val="00033177"/>
    <w:rsid w:val="00247B7E"/>
    <w:rsid w:val="00296B80"/>
    <w:rsid w:val="0032307C"/>
    <w:rsid w:val="003A2A97"/>
    <w:rsid w:val="00492A98"/>
    <w:rsid w:val="004948B9"/>
    <w:rsid w:val="004A1FE2"/>
    <w:rsid w:val="004E4CEF"/>
    <w:rsid w:val="00635F1A"/>
    <w:rsid w:val="00697BFE"/>
    <w:rsid w:val="00707386"/>
    <w:rsid w:val="007121F6"/>
    <w:rsid w:val="007A6C26"/>
    <w:rsid w:val="00861255"/>
    <w:rsid w:val="008D16F0"/>
    <w:rsid w:val="00941183"/>
    <w:rsid w:val="009C716A"/>
    <w:rsid w:val="00A2162F"/>
    <w:rsid w:val="00AA3955"/>
    <w:rsid w:val="00B01C28"/>
    <w:rsid w:val="00B34346"/>
    <w:rsid w:val="00B4735D"/>
    <w:rsid w:val="00B83CD5"/>
    <w:rsid w:val="00C776E4"/>
    <w:rsid w:val="00E11C49"/>
    <w:rsid w:val="00FA60D2"/>
    <w:rsid w:val="00FB0893"/>
    <w:rsid w:val="66E926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Closing"/>
    <w:basedOn w:val="1"/>
    <w:link w:val="12"/>
    <w:semiHidden/>
    <w:unhideWhenUsed/>
    <w:uiPriority w:val="99"/>
    <w:pPr>
      <w:ind w:left="100" w:leftChars="2100"/>
    </w:pPr>
  </w:style>
  <w:style w:type="paragraph" w:styleId="3">
    <w:name w:val="Balloon Text"/>
    <w:basedOn w:val="1"/>
    <w:link w:val="13"/>
    <w:semiHidden/>
    <w:unhideWhenUsed/>
    <w:uiPriority w:val="99"/>
    <w:rPr>
      <w:rFonts w:ascii="Segoe UI" w:hAnsi="Segoe UI" w:cs="Segoe UI"/>
      <w:sz w:val="18"/>
      <w:szCs w:val="18"/>
    </w:rPr>
  </w:style>
  <w:style w:type="paragraph" w:styleId="4">
    <w:name w:val="footer"/>
    <w:basedOn w:val="1"/>
    <w:link w:val="10"/>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semiHidden/>
    <w:uiPriority w:val="0"/>
  </w:style>
  <w:style w:type="character" w:customStyle="1" w:styleId="9">
    <w:name w:val="页眉字符"/>
    <w:basedOn w:val="7"/>
    <w:link w:val="5"/>
    <w:uiPriority w:val="99"/>
    <w:rPr>
      <w:sz w:val="18"/>
      <w:szCs w:val="18"/>
    </w:rPr>
  </w:style>
  <w:style w:type="character" w:customStyle="1" w:styleId="10">
    <w:name w:val="页脚字符"/>
    <w:basedOn w:val="7"/>
    <w:link w:val="4"/>
    <w:uiPriority w:val="99"/>
    <w:rPr>
      <w:sz w:val="18"/>
      <w:szCs w:val="18"/>
    </w:rPr>
  </w:style>
  <w:style w:type="paragraph" w:customStyle="1" w:styleId="11">
    <w:name w:val="Name"/>
    <w:basedOn w:val="2"/>
    <w:uiPriority w:val="0"/>
    <w:pPr>
      <w:widowControl/>
      <w:tabs>
        <w:tab w:val="left" w:leader="underscore" w:pos="7200"/>
        <w:tab w:val="right" w:leader="underscore" w:pos="8640"/>
      </w:tabs>
      <w:ind w:left="4320" w:leftChars="0"/>
      <w:jc w:val="left"/>
    </w:pPr>
    <w:rPr>
      <w:rFonts w:ascii="Times New Roman" w:hAnsi="Times New Roman" w:cs="Times New Roman"/>
      <w:kern w:val="0"/>
      <w:sz w:val="24"/>
      <w:szCs w:val="20"/>
      <w:lang w:eastAsia="en-US"/>
    </w:rPr>
  </w:style>
  <w:style w:type="character" w:customStyle="1" w:styleId="12">
    <w:name w:val="正在关闭字符"/>
    <w:basedOn w:val="7"/>
    <w:link w:val="2"/>
    <w:semiHidden/>
    <w:uiPriority w:val="99"/>
    <w:rPr>
      <w:rFonts w:ascii="Calibri" w:hAnsi="Calibri" w:eastAsia="宋体" w:cs="Calibri"/>
      <w:szCs w:val="21"/>
    </w:rPr>
  </w:style>
  <w:style w:type="character" w:customStyle="1" w:styleId="13">
    <w:name w:val="批注框文本字符"/>
    <w:basedOn w:val="7"/>
    <w:link w:val="3"/>
    <w:semiHidden/>
    <w:uiPriority w:val="99"/>
    <w:rPr>
      <w:rFonts w:ascii="Segoe UI" w:hAnsi="Segoe UI" w:eastAsia="宋体"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1005</Words>
  <Characters>5732</Characters>
  <Lines>47</Lines>
  <Paragraphs>13</Paragraphs>
  <TotalTime>13</TotalTime>
  <ScaleCrop>false</ScaleCrop>
  <LinksUpToDate>false</LinksUpToDate>
  <CharactersWithSpaces>6724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2019-09-08T09:06:00Z</dcterms:created>
  <dc:creator>davidz</dc:creator>
  <cp:lastModifiedBy>为什么我的头像如此英俊</cp:lastModifiedBy>
  <cp:lastPrinted>2019-06-18T09:25:00Z</cp:lastPrinted>
  <dcterms:modified xsi:type="dcterms:W3CDTF">2019-09-11T06:48:54Z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