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尊敬的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>康辉北京会展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贵宾：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line="360" w:lineRule="auto"/>
        <w:ind w:firstLine="720" w:firstLineChars="3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感谢您选择盐官潮乐之城国际度假区服务产品，请仔细阅读、核对以下信息，并在【2025】年【7】月【3】 日前支付全额费用（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人民币4800元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）。支付行为将视为您已完全了解并认可本预留单的全部内容。如逾期支付，我方对以下资源将不做预留，由您自行承担相应不利后果。 </w:t>
      </w:r>
    </w:p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27"/>
        <w:gridCol w:w="1936"/>
        <w:gridCol w:w="1078"/>
        <w:gridCol w:w="1200"/>
        <w:gridCol w:w="1281"/>
        <w:gridCol w:w="2381"/>
      </w:tblGrid>
      <w:tr>
        <w:trPr>
          <w:trHeight w:val="757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入住日期</w:t>
            </w:r>
          </w:p>
        </w:tc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7月7日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离店日期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7月10日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综合预订号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CRS250702000053</w:t>
            </w:r>
          </w:p>
        </w:tc>
      </w:tr>
      <w:tr>
        <w:trPr>
          <w:trHeight w:val="519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项</w:t>
            </w:r>
            <w:r>
              <w:rPr>
                <w:rFonts w:hint="eastAsia"/>
                <w:b/>
                <w:bCs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8"/>
              </w:rPr>
              <w:t>目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酒</w:t>
            </w:r>
            <w:r>
              <w:rPr>
                <w:rFonts w:hint="eastAsia"/>
                <w:b/>
                <w:bCs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8"/>
              </w:rPr>
              <w:t>店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  <w:lang w:val="en-US" w:eastAsia="zh-CN"/>
              </w:rPr>
              <w:t>时  间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8"/>
                <w:lang w:val="en-US" w:eastAsia="zh-CN"/>
              </w:rPr>
              <w:t>入住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color w:val="000000"/>
                <w:szCs w:val="28"/>
                <w:lang w:val="en-US" w:eastAsia="zh-CN"/>
              </w:rPr>
              <w:t>天数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预订数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Cs w:val="28"/>
                <w:lang w:val="en-US" w:eastAsia="zh-CN"/>
              </w:rPr>
              <w:t>房间价格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费用</w:t>
            </w:r>
          </w:p>
        </w:tc>
      </w:tr>
      <w:tr>
        <w:trPr>
          <w:trHeight w:val="838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宣德门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7月7日-7月10日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4间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400元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4800元</w:t>
            </w:r>
          </w:p>
        </w:tc>
      </w:tr>
      <w:tr>
        <w:trPr>
          <w:trHeight w:val="462" w:hRule="atLeast"/>
        </w:trPr>
        <w:tc>
          <w:tcPr>
            <w:tcW w:w="9959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000000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Cs w:val="28"/>
                <w:lang w:val="en-US" w:eastAsia="zh-CN"/>
              </w:rPr>
              <w:t>合计费用：4800元</w:t>
            </w:r>
          </w:p>
        </w:tc>
      </w:tr>
    </w:tbl>
    <w:p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一、住宿须知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入住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度假区</w:t>
      </w:r>
      <w:r>
        <w:rPr>
          <w:rFonts w:hint="eastAsia" w:ascii="宋体" w:hAnsi="宋体" w:eastAsia="宋体" w:cs="宋体"/>
          <w:sz w:val="24"/>
          <w:szCs w:val="24"/>
        </w:rPr>
        <w:t>旗下酒店客人将按房间标准入住人数赠送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盐官潮乐之城国际度假区</w:t>
      </w:r>
      <w:r>
        <w:rPr>
          <w:rFonts w:hint="eastAsia" w:ascii="宋体" w:hAnsi="宋体" w:eastAsia="宋体" w:cs="宋体"/>
          <w:sz w:val="24"/>
          <w:szCs w:val="24"/>
        </w:rPr>
        <w:t>门票。住宿客人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需持本人有效证件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度假区</w:t>
      </w:r>
      <w:r>
        <w:rPr>
          <w:rFonts w:hint="eastAsia" w:ascii="宋体" w:hAnsi="宋体" w:eastAsia="宋体" w:cs="宋体"/>
          <w:sz w:val="24"/>
          <w:szCs w:val="24"/>
        </w:rPr>
        <w:t>游客服务中心住宿前台办理入住及人脸识别手续，</w:t>
      </w:r>
      <w:r>
        <w:rPr>
          <w:rFonts w:hint="eastAsia" w:ascii="宋体" w:hAnsi="宋体" w:eastAsia="宋体" w:cs="宋体"/>
          <w:sz w:val="24"/>
          <w:szCs w:val="24"/>
          <w:shd w:val="clear"/>
        </w:rPr>
        <w:t>以便您在离店日1</w:t>
      </w:r>
      <w:r>
        <w:rPr>
          <w:rFonts w:hint="eastAsia" w:ascii="宋体" w:hAnsi="宋体" w:eastAsia="宋体" w:cs="宋体"/>
          <w:sz w:val="24"/>
          <w:szCs w:val="24"/>
          <w:shd w:val="clear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shd w:val="clear"/>
        </w:rPr>
        <w:t>:00之内多次进出</w:t>
      </w:r>
      <w:r>
        <w:rPr>
          <w:rFonts w:hint="eastAsia" w:ascii="宋体" w:hAnsi="宋体" w:eastAsia="宋体" w:cs="宋体"/>
          <w:sz w:val="24"/>
          <w:szCs w:val="24"/>
          <w:shd w:val="clear"/>
          <w:lang w:val="en-US" w:eastAsia="zh-CN"/>
        </w:rPr>
        <w:t>盐官潮乐之城度假区</w:t>
      </w:r>
      <w:r>
        <w:rPr>
          <w:rFonts w:hint="eastAsia" w:ascii="宋体" w:hAnsi="宋体" w:eastAsia="宋体" w:cs="宋体"/>
          <w:sz w:val="24"/>
          <w:szCs w:val="24"/>
          <w:shd w:val="clear"/>
        </w:rPr>
        <w:t>；1.</w:t>
      </w:r>
      <w:r>
        <w:rPr>
          <w:rFonts w:hint="eastAsia" w:ascii="宋体" w:hAnsi="宋体" w:eastAsia="宋体" w:cs="宋体"/>
          <w:sz w:val="24"/>
          <w:szCs w:val="24"/>
        </w:rPr>
        <w:t>2M以下儿童免门票，1.2M以上儿童需购买门票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酒店确保入住时间为入住当日15:00之后，退房时间为离店当日12:00之前。酒店前台将会24小时为您提供接待服务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住盐官潮乐之城旗下酒店，均可在潮乐之城游客服务中心大前台办理入住登记手续，须持本人有效证件，一人一证如实登记入住（内宾：居民身份证；儿童：携带本人身份证或户口本；外宾：护照；港澳台胞：往来大陆通行证）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潮乐之城及观潮公园度假区内禁止携带宠物入内，度假区游客服务中心可提供宠物寄养服务。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度假区</w:t>
      </w:r>
      <w:r>
        <w:rPr>
          <w:rFonts w:hint="eastAsia" w:ascii="宋体" w:hAnsi="宋体" w:eastAsia="宋体" w:cs="宋体"/>
          <w:sz w:val="24"/>
          <w:szCs w:val="24"/>
        </w:rPr>
        <w:t>内客房为原有建筑改造，受建筑格局影响，每个房间空间略有不同，网站图片仅供参考。如因酒店维修保养，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度假区</w:t>
      </w:r>
      <w:r>
        <w:rPr>
          <w:rFonts w:hint="eastAsia" w:ascii="宋体" w:hAnsi="宋体" w:eastAsia="宋体" w:cs="宋体"/>
          <w:sz w:val="24"/>
          <w:szCs w:val="24"/>
        </w:rPr>
        <w:t>将为您调整至您预订酒店同等级的酒店入住，感谢您的配合；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为保障游客住宿安全与酒店正常运营，配合国家公安网对酒店入住登记的核查，盐官潮乐之城度假区旗下所属客房，按酒店客房国际配备标准接纳入住客人。不提供加床服务。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●标准间（双床，每床宽1.2米-1.35米）仅限1-2人入住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●大床间（单床，每床宽1.8米或2.0米）仅限1-2人入住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●三人间（三床，每床宽1.2米）仅限1-3人入住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3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此标准适用18周岁以上成人以及身高高于1.5米的未成年人，18周岁以下客人不允许单独入住，具体以酒店前台认定为准。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7、如遇不可抗力事件，包括但不限于：自然灾害（如台风、洪水、冰雹等）、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社会异常事件（如罢工、骚乱、大规模传染性疾病等）、政府行为（如征收、征用、特殊事件）、政府出台临时性规定、政策或要求等，度假区将立即通知您，但度假区不承担其他任何责任。</w:t>
      </w:r>
    </w:p>
    <w:p>
      <w:pPr>
        <w:spacing w:line="400" w:lineRule="exac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8、潮乐之城景区以木质建筑为主，有大量文物资源，为预防消防安全，同时为每位宾客提供良好的度假环境，景区内实行控烟，请您在有客宾吸烟区标识的区域吸烟，或咨询景区工作人员，感谢您的理解与支持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二、变更取消规则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ind w:left="1446" w:hanging="1441" w:hangingChars="600"/>
        <w:jc w:val="both"/>
        <w:textAlignment w:val="auto"/>
        <w:rPr>
          <w:rFonts w:hint="default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 w:bidi="ar"/>
        </w:rPr>
        <w:t>变更、取消：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bidi="ar"/>
        </w:rPr>
        <w:t>客房订单提前1天18点前取消不收违约金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 w:bidi="ar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超出时间房间不允许取消，取消收取全额费用。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三、我方账户信息</w:t>
      </w:r>
    </w:p>
    <w:p>
      <w:pPr>
        <w:keepNext w:val="0"/>
        <w:keepLines w:val="0"/>
        <w:widowControl/>
        <w:suppressLineNumbers w:val="0"/>
        <w:spacing w:line="360" w:lineRule="auto"/>
        <w:ind w:firstLine="240" w:firstLineChars="1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为确保贵社利益，请以贵社名义汇款，如以个人账户或其它单位账户汇款均按散客价格政策执行。</w:t>
      </w:r>
    </w:p>
    <w:p>
      <w:pPr>
        <w:keepNext w:val="0"/>
        <w:keepLines w:val="0"/>
        <w:pageBreakBefore w:val="0"/>
        <w:widowControl w:val="0"/>
        <w:tabs>
          <w:tab w:val="left" w:pos="21"/>
          <w:tab w:val="left" w:pos="8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2" w:leftChars="39" w:right="71" w:rightChars="34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户名：海宁盐官古城旅游股份有限公司</w:t>
      </w:r>
    </w:p>
    <w:p>
      <w:pPr>
        <w:keepNext w:val="0"/>
        <w:keepLines w:val="0"/>
        <w:pageBreakBefore w:val="0"/>
        <w:widowControl w:val="0"/>
        <w:tabs>
          <w:tab w:val="left" w:pos="21"/>
          <w:tab w:val="left" w:pos="8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2" w:leftChars="39" w:right="71" w:rightChars="34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银行帐号: 19350301040188888</w:t>
      </w:r>
    </w:p>
    <w:p>
      <w:pPr>
        <w:keepNext w:val="0"/>
        <w:keepLines w:val="0"/>
        <w:pageBreakBefore w:val="0"/>
        <w:widowControl w:val="0"/>
        <w:tabs>
          <w:tab w:val="left" w:pos="21"/>
          <w:tab w:val="left" w:pos="8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2" w:leftChars="39" w:right="71" w:rightChars="34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开户行：中国农业银行海宁盐官支行</w:t>
      </w:r>
    </w:p>
    <w:p>
      <w:pPr>
        <w:tabs>
          <w:tab w:val="left" w:pos="21"/>
          <w:tab w:val="left" w:pos="870"/>
        </w:tabs>
        <w:spacing w:line="360" w:lineRule="auto"/>
        <w:ind w:right="71" w:rightChars="34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汇款成功后请将凭证传真或邮件至预订中心，以便我方尽早为您预留资源。感谢支持！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both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368425" cy="294005"/>
          <wp:effectExtent l="0" t="0" r="0" b="0"/>
          <wp:docPr id="2" name="图片 2" descr="潮乐之城LOGO_SLOGAN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潮乐之城LOGO_SLOGAN横版"/>
                  <pic:cNvPicPr>
                    <a:picLocks noChangeAspect="1"/>
                  </pic:cNvPicPr>
                </pic:nvPicPr>
                <pic:blipFill>
                  <a:blip r:embed="rId1"/>
                  <a:srcRect l="3659" t="21231" r="-2234" b="40601"/>
                  <a:stretch>
                    <a:fillRect/>
                  </a:stretch>
                </pic:blipFill>
                <pic:spPr>
                  <a:xfrm>
                    <a:off x="0" y="0"/>
                    <a:ext cx="1368425" cy="294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</w:t>
    </w:r>
    <w:r>
      <w:rPr>
        <w:rFonts w:hint="eastAsia"/>
        <w:sz w:val="21"/>
        <w:szCs w:val="21"/>
        <w:lang w:val="en-US" w:eastAsia="zh-CN"/>
      </w:rPr>
      <w:t xml:space="preserve">   </w:t>
    </w:r>
    <w:r>
      <w:rPr>
        <w:rFonts w:hint="eastAsia"/>
        <w:lang w:val="en-US" w:eastAsia="zh-CN"/>
      </w:rPr>
      <w:t xml:space="preserve">                                                     </w:t>
    </w:r>
    <w:r>
      <w:drawing>
        <wp:inline distT="0" distB="0" distL="114300" distR="114300">
          <wp:extent cx="339725" cy="338455"/>
          <wp:effectExtent l="0" t="0" r="15875" b="1714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972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238885" cy="423545"/>
          <wp:effectExtent l="0" t="0" r="0" b="0"/>
          <wp:docPr id="1" name="图片 1" descr="潮乐之城LOGO_不同组合形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潮乐之城LOGO_不同组合形式1"/>
                  <pic:cNvPicPr>
                    <a:picLocks noChangeAspect="1"/>
                  </pic:cNvPicPr>
                </pic:nvPicPr>
                <pic:blipFill>
                  <a:blip r:embed="rId1"/>
                  <a:srcRect t="17061" r="-333" b="21992"/>
                  <a:stretch>
                    <a:fillRect/>
                  </a:stretch>
                </pic:blipFill>
                <pic:spPr>
                  <a:xfrm>
                    <a:off x="0" y="0"/>
                    <a:ext cx="1238885" cy="4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0D9B1"/>
    <w:multiLevelType w:val="singleLevel"/>
    <w:tmpl w:val="3710D9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MTFmMWE2NzM1ZTMzMWEyZDk1ZmNkZWQ5NDhhMTEifQ=="/>
  </w:docVars>
  <w:rsids>
    <w:rsidRoot w:val="7FDB0878"/>
    <w:rsid w:val="061779AF"/>
    <w:rsid w:val="0A9530C8"/>
    <w:rsid w:val="0AA545B2"/>
    <w:rsid w:val="2026321B"/>
    <w:rsid w:val="20C758DA"/>
    <w:rsid w:val="295D6435"/>
    <w:rsid w:val="2C9C4927"/>
    <w:rsid w:val="32304CFE"/>
    <w:rsid w:val="3EFC7A3C"/>
    <w:rsid w:val="431D1A82"/>
    <w:rsid w:val="68EE37B3"/>
    <w:rsid w:val="750C19C9"/>
    <w:rsid w:val="7FDB0878"/>
    <w:rsid w:val="CB7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1227</Words>
  <Characters>1316</Characters>
  <Lines>0</Lines>
  <Paragraphs>0</Paragraphs>
  <TotalTime>9</TotalTime>
  <ScaleCrop>false</ScaleCrop>
  <LinksUpToDate>false</LinksUpToDate>
  <CharactersWithSpaces>1331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2024-08-20T05:24:00Z</dcterms:created>
  <dc:creator>戴小安</dc:creator>
  <cp:lastModifiedBy>WPS_1385600027</cp:lastModifiedBy>
  <dcterms:modified xsi:type="dcterms:W3CDTF">2025-07-03T17:26:30Z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41E916BF075CE4EDC64C6668DCA48231_43</vt:lpwstr>
  </property>
  <property fmtid="{D5CDD505-2E9C-101B-9397-08002B2CF9AE}" pid="4" name="KSOTemplateDocerSaveRecord">
    <vt:lpwstr>eyJoZGlkIjoiNTM3MTFmMWE2NzM1ZTMzMWEyZDk1ZmNkZWQ5NDhhMTEiLCJ1c2VySWQiOiIxMjE1MjA5NzU4In0=</vt:lpwstr>
  </property>
</Properties>
</file>